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59C1" w14:textId="51D0A77F" w:rsidR="00F56C8A" w:rsidRDefault="00F56C8A" w:rsidP="00371577">
      <w:pPr>
        <w:spacing w:after="0" w:line="240" w:lineRule="auto"/>
        <w:jc w:val="both"/>
        <w:rPr>
          <w:b/>
          <w:bCs/>
          <w:u w:val="single"/>
        </w:rPr>
      </w:pPr>
      <w:r w:rsidRPr="00371577">
        <w:rPr>
          <w:b/>
          <w:bCs/>
          <w:u w:val="single"/>
        </w:rPr>
        <w:t>Inclusive Early Years Fund (IEYF)</w:t>
      </w:r>
    </w:p>
    <w:p w14:paraId="37FB3FBD" w14:textId="77777777" w:rsidR="00371577" w:rsidRPr="00371577" w:rsidRDefault="00371577" w:rsidP="00371577">
      <w:pPr>
        <w:spacing w:after="0" w:line="240" w:lineRule="auto"/>
        <w:jc w:val="both"/>
        <w:rPr>
          <w:b/>
          <w:bCs/>
          <w:u w:val="single"/>
        </w:rPr>
      </w:pPr>
    </w:p>
    <w:p w14:paraId="1100935E" w14:textId="71578BB6" w:rsidR="00F56C8A" w:rsidRDefault="00F56C8A" w:rsidP="00371577">
      <w:pPr>
        <w:spacing w:after="0" w:line="240" w:lineRule="auto"/>
        <w:jc w:val="both"/>
        <w:rPr>
          <w:b/>
          <w:bCs/>
          <w:u w:val="single"/>
        </w:rPr>
      </w:pPr>
      <w:r w:rsidRPr="00371577">
        <w:rPr>
          <w:b/>
          <w:bCs/>
          <w:u w:val="single"/>
        </w:rPr>
        <w:t>What is the purpose of the IEYF?</w:t>
      </w:r>
    </w:p>
    <w:p w14:paraId="2AF644D6" w14:textId="25A6C740" w:rsidR="00F56C8A" w:rsidRDefault="00F56C8A" w:rsidP="00371577">
      <w:pPr>
        <w:spacing w:after="0" w:line="240" w:lineRule="auto"/>
        <w:jc w:val="both"/>
        <w:rPr>
          <w:rFonts w:eastAsia="Times New Roman" w:cs="Arial"/>
          <w:color w:val="0B0C0C"/>
          <w:kern w:val="0"/>
          <w:lang w:eastAsia="en-GB"/>
          <w14:ligatures w14:val="none"/>
        </w:rPr>
      </w:pPr>
      <w:r w:rsidRPr="00371577">
        <w:t xml:space="preserve">As part of the </w:t>
      </w:r>
      <w:hyperlink r:id="rId5" w:history="1">
        <w:r w:rsidRPr="00371577">
          <w:rPr>
            <w:rFonts w:eastAsia="Times New Roman" w:cs="Arial"/>
            <w:color w:val="1D70B8"/>
            <w:kern w:val="0"/>
            <w:u w:val="single"/>
            <w:lang w:eastAsia="en-GB"/>
            <w14:ligatures w14:val="none"/>
          </w:rPr>
          <w:t>inclusive mainstream fund</w:t>
        </w:r>
      </w:hyperlink>
      <w:r w:rsidRPr="00371577">
        <w:rPr>
          <w:rFonts w:eastAsia="Times New Roman" w:cs="Arial"/>
          <w:color w:val="0B0C0C"/>
          <w:kern w:val="0"/>
          <w:lang w:eastAsia="en-GB"/>
          <w14:ligatures w14:val="none"/>
        </w:rPr>
        <w:t xml:space="preserve"> announced in February 2026, the IEYF will provide an additional £47</w:t>
      </w:r>
      <w:r w:rsidRPr="00371577">
        <w:rPr>
          <w:rFonts w:ascii="Arial" w:eastAsia="Times New Roman" w:hAnsi="Arial" w:cs="Arial"/>
          <w:color w:val="0B0C0C"/>
          <w:kern w:val="0"/>
          <w:lang w:eastAsia="en-GB"/>
          <w14:ligatures w14:val="none"/>
        </w:rPr>
        <w:t> </w:t>
      </w:r>
      <w:r w:rsidRPr="00371577">
        <w:rPr>
          <w:rFonts w:eastAsia="Times New Roman" w:cs="Arial"/>
          <w:color w:val="0B0C0C"/>
          <w:kern w:val="0"/>
          <w:lang w:eastAsia="en-GB"/>
          <w14:ligatures w14:val="none"/>
        </w:rPr>
        <w:t>million of early years funding in 2026 to 2027 to support the early years sector to become more inclusive of children with special educational needs and disabilities (SEND).</w:t>
      </w:r>
    </w:p>
    <w:p w14:paraId="40B2104F" w14:textId="77777777" w:rsidR="00371577" w:rsidRPr="00371577" w:rsidRDefault="00371577" w:rsidP="00371577">
      <w:pPr>
        <w:spacing w:after="0" w:line="240" w:lineRule="auto"/>
        <w:jc w:val="both"/>
      </w:pPr>
    </w:p>
    <w:p w14:paraId="44BB9E62" w14:textId="77777777" w:rsidR="00F56C8A" w:rsidRPr="00371577" w:rsidRDefault="00F56C8A" w:rsidP="00371577">
      <w:pPr>
        <w:shd w:val="clear" w:color="auto" w:fill="FFFFFF"/>
        <w:spacing w:after="0" w:line="240" w:lineRule="auto"/>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This funding marks a first step towards a more coherent and inclusive early years SEND funding system. It is upfront funding intended to:</w:t>
      </w:r>
    </w:p>
    <w:p w14:paraId="6CB7EADE" w14:textId="77777777" w:rsidR="00F56C8A" w:rsidRPr="00371577" w:rsidRDefault="00F56C8A" w:rsidP="00371577">
      <w:pPr>
        <w:numPr>
          <w:ilvl w:val="0"/>
          <w:numId w:val="1"/>
        </w:numPr>
        <w:shd w:val="clear" w:color="auto" w:fill="FFFFFF"/>
        <w:spacing w:after="0" w:line="240" w:lineRule="auto"/>
        <w:ind w:left="1020"/>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help providers adopt setting-wide inclusive practices</w:t>
      </w:r>
    </w:p>
    <w:p w14:paraId="66BA3B9C" w14:textId="77777777" w:rsidR="00F56C8A" w:rsidRPr="00371577" w:rsidRDefault="00F56C8A" w:rsidP="00371577">
      <w:pPr>
        <w:numPr>
          <w:ilvl w:val="0"/>
          <w:numId w:val="1"/>
        </w:numPr>
        <w:shd w:val="clear" w:color="auto" w:fill="FFFFFF"/>
        <w:spacing w:after="0" w:line="240" w:lineRule="auto"/>
        <w:ind w:left="1020"/>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reduce reliance on individual child-based funding applications</w:t>
      </w:r>
    </w:p>
    <w:p w14:paraId="118DBE58" w14:textId="77777777" w:rsidR="00F56C8A" w:rsidRDefault="00F56C8A" w:rsidP="00371577">
      <w:pPr>
        <w:numPr>
          <w:ilvl w:val="0"/>
          <w:numId w:val="1"/>
        </w:numPr>
        <w:shd w:val="clear" w:color="auto" w:fill="FFFFFF"/>
        <w:spacing w:after="0" w:line="240" w:lineRule="auto"/>
        <w:ind w:left="1020"/>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enable early intervention for children with SEND</w:t>
      </w:r>
    </w:p>
    <w:p w14:paraId="4C7C5AF6" w14:textId="77777777" w:rsidR="00371577" w:rsidRPr="00371577" w:rsidRDefault="00371577" w:rsidP="00371577">
      <w:pPr>
        <w:shd w:val="clear" w:color="auto" w:fill="FFFFFF"/>
        <w:spacing w:after="0" w:line="240" w:lineRule="auto"/>
        <w:ind w:left="1020"/>
        <w:jc w:val="both"/>
        <w:rPr>
          <w:rFonts w:eastAsia="Times New Roman" w:cs="Arial"/>
          <w:color w:val="0B0C0C"/>
          <w:kern w:val="0"/>
          <w:lang w:eastAsia="en-GB"/>
          <w14:ligatures w14:val="none"/>
        </w:rPr>
      </w:pPr>
    </w:p>
    <w:p w14:paraId="4D09ABE4" w14:textId="6A9CB993" w:rsidR="00390F93" w:rsidRDefault="00F56C8A" w:rsidP="00371577">
      <w:pPr>
        <w:shd w:val="clear" w:color="auto" w:fill="FFFFFF"/>
        <w:spacing w:after="0" w:line="240" w:lineRule="auto"/>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 xml:space="preserve">The IEYF </w:t>
      </w:r>
      <w:r w:rsidR="00390F93">
        <w:rPr>
          <w:rFonts w:eastAsia="Times New Roman" w:cs="Arial"/>
          <w:color w:val="0B0C0C"/>
          <w:kern w:val="0"/>
          <w:lang w:eastAsia="en-GB"/>
          <w14:ligatures w14:val="none"/>
        </w:rPr>
        <w:t xml:space="preserve">is additional funding and is to </w:t>
      </w:r>
      <w:r w:rsidRPr="00371577">
        <w:rPr>
          <w:rFonts w:eastAsia="Times New Roman" w:cs="Arial"/>
          <w:color w:val="0B0C0C"/>
          <w:kern w:val="0"/>
          <w:lang w:eastAsia="en-GB"/>
          <w14:ligatures w14:val="none"/>
        </w:rPr>
        <w:t>complement</w:t>
      </w:r>
      <w:r w:rsidR="00390F93">
        <w:rPr>
          <w:rFonts w:eastAsia="Times New Roman" w:cs="Arial"/>
          <w:color w:val="0B0C0C"/>
          <w:kern w:val="0"/>
          <w:lang w:eastAsia="en-GB"/>
          <w14:ligatures w14:val="none"/>
        </w:rPr>
        <w:t>, not replace,</w:t>
      </w:r>
      <w:r w:rsidRPr="00371577">
        <w:rPr>
          <w:rFonts w:eastAsia="Times New Roman" w:cs="Arial"/>
          <w:color w:val="0B0C0C"/>
          <w:kern w:val="0"/>
          <w:lang w:eastAsia="en-GB"/>
          <w14:ligatures w14:val="none"/>
        </w:rPr>
        <w:t xml:space="preserve"> existing funding such as the Special Educational Needs </w:t>
      </w:r>
      <w:r w:rsidR="00371577" w:rsidRPr="00371577">
        <w:rPr>
          <w:rFonts w:eastAsia="Times New Roman" w:cs="Arial"/>
          <w:color w:val="0B0C0C"/>
          <w:kern w:val="0"/>
          <w:lang w:eastAsia="en-GB"/>
          <w14:ligatures w14:val="none"/>
        </w:rPr>
        <w:t>I</w:t>
      </w:r>
      <w:r w:rsidRPr="00371577">
        <w:rPr>
          <w:rFonts w:eastAsia="Times New Roman" w:cs="Arial"/>
          <w:color w:val="0B0C0C"/>
          <w:kern w:val="0"/>
          <w:lang w:eastAsia="en-GB"/>
          <w14:ligatures w14:val="none"/>
        </w:rPr>
        <w:t xml:space="preserve">nclusion </w:t>
      </w:r>
      <w:r w:rsidR="00371577" w:rsidRPr="00371577">
        <w:rPr>
          <w:rFonts w:eastAsia="Times New Roman" w:cs="Arial"/>
          <w:color w:val="0B0C0C"/>
          <w:kern w:val="0"/>
          <w:lang w:eastAsia="en-GB"/>
          <w14:ligatures w14:val="none"/>
        </w:rPr>
        <w:t>F</w:t>
      </w:r>
      <w:r w:rsidRPr="00371577">
        <w:rPr>
          <w:rFonts w:eastAsia="Times New Roman" w:cs="Arial"/>
          <w:color w:val="0B0C0C"/>
          <w:kern w:val="0"/>
          <w:lang w:eastAsia="en-GB"/>
          <w14:ligatures w14:val="none"/>
        </w:rPr>
        <w:t xml:space="preserve">und (SENIF), </w:t>
      </w:r>
      <w:r w:rsidR="00371577" w:rsidRPr="00371577">
        <w:rPr>
          <w:rFonts w:eastAsia="Times New Roman" w:cs="Arial"/>
          <w:color w:val="0B0C0C"/>
          <w:kern w:val="0"/>
          <w:lang w:eastAsia="en-GB"/>
          <w14:ligatures w14:val="none"/>
        </w:rPr>
        <w:t>D</w:t>
      </w:r>
      <w:r w:rsidRPr="00371577">
        <w:rPr>
          <w:rFonts w:eastAsia="Times New Roman" w:cs="Arial"/>
          <w:color w:val="0B0C0C"/>
          <w:kern w:val="0"/>
          <w:lang w:eastAsia="en-GB"/>
          <w14:ligatures w14:val="none"/>
        </w:rPr>
        <w:t xml:space="preserve">isability </w:t>
      </w:r>
      <w:r w:rsidR="00371577" w:rsidRPr="00371577">
        <w:rPr>
          <w:rFonts w:eastAsia="Times New Roman" w:cs="Arial"/>
          <w:color w:val="0B0C0C"/>
          <w:kern w:val="0"/>
          <w:lang w:eastAsia="en-GB"/>
          <w14:ligatures w14:val="none"/>
        </w:rPr>
        <w:t>A</w:t>
      </w:r>
      <w:r w:rsidRPr="00371577">
        <w:rPr>
          <w:rFonts w:eastAsia="Times New Roman" w:cs="Arial"/>
          <w:color w:val="0B0C0C"/>
          <w:kern w:val="0"/>
          <w:lang w:eastAsia="en-GB"/>
          <w14:ligatures w14:val="none"/>
        </w:rPr>
        <w:t xml:space="preserve">ccess </w:t>
      </w:r>
      <w:r w:rsidR="00371577" w:rsidRPr="00371577">
        <w:rPr>
          <w:rFonts w:eastAsia="Times New Roman" w:cs="Arial"/>
          <w:color w:val="0B0C0C"/>
          <w:kern w:val="0"/>
          <w:lang w:eastAsia="en-GB"/>
          <w14:ligatures w14:val="none"/>
        </w:rPr>
        <w:t>F</w:t>
      </w:r>
      <w:r w:rsidRPr="00371577">
        <w:rPr>
          <w:rFonts w:eastAsia="Times New Roman" w:cs="Arial"/>
          <w:color w:val="0B0C0C"/>
          <w:kern w:val="0"/>
          <w:lang w:eastAsia="en-GB"/>
          <w14:ligatures w14:val="none"/>
        </w:rPr>
        <w:t xml:space="preserve">unding (DAF), and </w:t>
      </w:r>
      <w:r w:rsidR="00371577" w:rsidRPr="00371577">
        <w:rPr>
          <w:rFonts w:eastAsia="Times New Roman" w:cs="Arial"/>
          <w:color w:val="0B0C0C"/>
          <w:kern w:val="0"/>
          <w:lang w:eastAsia="en-GB"/>
          <w14:ligatures w14:val="none"/>
        </w:rPr>
        <w:t>High-Level Ne</w:t>
      </w:r>
      <w:r w:rsidRPr="00371577">
        <w:rPr>
          <w:rFonts w:eastAsia="Times New Roman" w:cs="Arial"/>
          <w:color w:val="0B0C0C"/>
          <w:kern w:val="0"/>
          <w:lang w:eastAsia="en-GB"/>
          <w14:ligatures w14:val="none"/>
        </w:rPr>
        <w:t xml:space="preserve">eds </w:t>
      </w:r>
      <w:r w:rsidR="00371577" w:rsidRPr="00371577">
        <w:rPr>
          <w:rFonts w:eastAsia="Times New Roman" w:cs="Arial"/>
          <w:color w:val="0B0C0C"/>
          <w:kern w:val="0"/>
          <w:lang w:eastAsia="en-GB"/>
          <w14:ligatures w14:val="none"/>
        </w:rPr>
        <w:t>(HLN) funding</w:t>
      </w:r>
      <w:r w:rsidR="00390F93">
        <w:rPr>
          <w:rFonts w:eastAsia="Times New Roman" w:cs="Arial"/>
          <w:color w:val="0B0C0C"/>
          <w:kern w:val="0"/>
          <w:lang w:eastAsia="en-GB"/>
          <w14:ligatures w14:val="none"/>
        </w:rPr>
        <w:t>.</w:t>
      </w:r>
    </w:p>
    <w:p w14:paraId="6287C3B6" w14:textId="77777777" w:rsidR="00371577" w:rsidRDefault="00371577" w:rsidP="00371577">
      <w:pPr>
        <w:shd w:val="clear" w:color="auto" w:fill="FFFFFF"/>
        <w:spacing w:after="0" w:line="240" w:lineRule="auto"/>
        <w:jc w:val="both"/>
        <w:rPr>
          <w:rFonts w:eastAsia="Times New Roman" w:cs="Arial"/>
          <w:color w:val="0B0C0C"/>
          <w:kern w:val="0"/>
          <w:lang w:eastAsia="en-GB"/>
          <w14:ligatures w14:val="none"/>
        </w:rPr>
      </w:pPr>
    </w:p>
    <w:p w14:paraId="07296A6A" w14:textId="49A8D2C6" w:rsidR="00371577" w:rsidRPr="00371577" w:rsidRDefault="00371577" w:rsidP="00371577">
      <w:pPr>
        <w:shd w:val="clear" w:color="auto" w:fill="FFFFFF"/>
        <w:spacing w:after="0" w:line="240" w:lineRule="auto"/>
        <w:jc w:val="both"/>
        <w:rPr>
          <w:rFonts w:eastAsia="Times New Roman" w:cs="Arial"/>
          <w:b/>
          <w:bCs/>
          <w:color w:val="0B0C0C"/>
          <w:kern w:val="0"/>
          <w:u w:val="single"/>
          <w:lang w:eastAsia="en-GB"/>
          <w14:ligatures w14:val="none"/>
        </w:rPr>
      </w:pPr>
      <w:r w:rsidRPr="00371577">
        <w:rPr>
          <w:rFonts w:eastAsia="Times New Roman" w:cs="Arial"/>
          <w:b/>
          <w:bCs/>
          <w:color w:val="0B0C0C"/>
          <w:kern w:val="0"/>
          <w:u w:val="single"/>
          <w:lang w:eastAsia="en-GB"/>
          <w14:ligatures w14:val="none"/>
        </w:rPr>
        <w:t>Who is eligible to receive the IEYF?</w:t>
      </w:r>
    </w:p>
    <w:p w14:paraId="42D312CA" w14:textId="4342A76A" w:rsidR="00371577" w:rsidRDefault="00371577" w:rsidP="00371577">
      <w:pPr>
        <w:shd w:val="clear" w:color="auto" w:fill="FFFFFF"/>
        <w:spacing w:after="0" w:line="240" w:lineRule="auto"/>
        <w:jc w:val="both"/>
        <w:rPr>
          <w:rFonts w:eastAsia="Times New Roman" w:cs="Arial"/>
          <w:color w:val="0B0C0C"/>
          <w:kern w:val="0"/>
          <w:lang w:eastAsia="en-GB"/>
          <w14:ligatures w14:val="none"/>
        </w:rPr>
      </w:pPr>
      <w:r w:rsidRPr="00371577">
        <w:rPr>
          <w:rFonts w:eastAsia="Times New Roman" w:cs="Arial"/>
          <w:color w:val="0B0C0C"/>
          <w:kern w:val="0"/>
          <w:lang w:eastAsia="en-GB"/>
          <w14:ligatures w14:val="none"/>
        </w:rPr>
        <w:t>Early Years providers that deliver the government’s free early years entitlements are eligible to receive the IEYF, but not all providers will, as explained below.</w:t>
      </w:r>
    </w:p>
    <w:p w14:paraId="641E9296" w14:textId="77777777" w:rsidR="009F2DC1" w:rsidRDefault="009F2DC1" w:rsidP="00371577">
      <w:pPr>
        <w:shd w:val="clear" w:color="auto" w:fill="FFFFFF"/>
        <w:spacing w:after="0" w:line="240" w:lineRule="auto"/>
        <w:jc w:val="both"/>
        <w:rPr>
          <w:rFonts w:eastAsia="Times New Roman" w:cs="Arial"/>
          <w:color w:val="0B0C0C"/>
          <w:kern w:val="0"/>
          <w:lang w:eastAsia="en-GB"/>
          <w14:ligatures w14:val="none"/>
        </w:rPr>
      </w:pPr>
    </w:p>
    <w:p w14:paraId="0EE7B2D4" w14:textId="13CC7CC6" w:rsidR="009F2DC1" w:rsidRDefault="009F2DC1" w:rsidP="00371577">
      <w:pPr>
        <w:shd w:val="clear" w:color="auto" w:fill="FFFFFF"/>
        <w:spacing w:after="0" w:line="240" w:lineRule="auto"/>
        <w:jc w:val="both"/>
        <w:rPr>
          <w:rFonts w:eastAsia="Times New Roman" w:cs="Arial"/>
          <w:b/>
          <w:bCs/>
          <w:color w:val="0B0C0C"/>
          <w:kern w:val="0"/>
          <w:u w:val="single"/>
          <w:lang w:eastAsia="en-GB"/>
          <w14:ligatures w14:val="none"/>
        </w:rPr>
      </w:pPr>
      <w:r w:rsidRPr="009F2DC1">
        <w:rPr>
          <w:rFonts w:eastAsia="Times New Roman" w:cs="Arial"/>
          <w:b/>
          <w:bCs/>
          <w:color w:val="0B0C0C"/>
          <w:kern w:val="0"/>
          <w:u w:val="single"/>
          <w:lang w:eastAsia="en-GB"/>
          <w14:ligatures w14:val="none"/>
        </w:rPr>
        <w:t>How has the IEYF been calculated</w:t>
      </w:r>
      <w:r w:rsidR="004E3474">
        <w:rPr>
          <w:rFonts w:eastAsia="Times New Roman" w:cs="Arial"/>
          <w:b/>
          <w:bCs/>
          <w:color w:val="0B0C0C"/>
          <w:kern w:val="0"/>
          <w:u w:val="single"/>
          <w:lang w:eastAsia="en-GB"/>
          <w14:ligatures w14:val="none"/>
        </w:rPr>
        <w:t xml:space="preserve"> nationally</w:t>
      </w:r>
      <w:r w:rsidRPr="009F2DC1">
        <w:rPr>
          <w:rFonts w:eastAsia="Times New Roman" w:cs="Arial"/>
          <w:b/>
          <w:bCs/>
          <w:color w:val="0B0C0C"/>
          <w:kern w:val="0"/>
          <w:u w:val="single"/>
          <w:lang w:eastAsia="en-GB"/>
          <w14:ligatures w14:val="none"/>
        </w:rPr>
        <w:t>?</w:t>
      </w:r>
    </w:p>
    <w:p w14:paraId="0E719103" w14:textId="133BE58C" w:rsidR="00390F93" w:rsidRPr="00C83770" w:rsidRDefault="00C83770" w:rsidP="00C83770">
      <w:pPr>
        <w:jc w:val="both"/>
      </w:pPr>
      <w:r>
        <w:t xml:space="preserve">To calculate LA rates, the DfE have used January 2025 census universal </w:t>
      </w:r>
      <w:proofErr w:type="gramStart"/>
      <w:r>
        <w:t>hours</w:t>
      </w:r>
      <w:proofErr w:type="gramEnd"/>
      <w:r>
        <w:t xml:space="preserve"> </w:t>
      </w:r>
      <w:r w:rsidR="00D41A43">
        <w:t>part time equivalent (</w:t>
      </w:r>
      <w:r>
        <w:t>PTE</w:t>
      </w:r>
      <w:r w:rsidR="00D41A43">
        <w:t>)</w:t>
      </w:r>
      <w:r>
        <w:t xml:space="preserve"> for 3- and 4-year-olds and allocations will be based on January 2026 census universal hours PTEs for 3- and 4-year-olds.   The DfE have used </w:t>
      </w:r>
      <w:r w:rsidRPr="00F5251E">
        <w:t xml:space="preserve">3 and 4-year-old universal hours PTEs because, as a universal offer, this represents a full cohort of children and there is an increased likelihood of identifiable SEND needs emerging at this </w:t>
      </w:r>
      <w:r w:rsidR="00390F93" w:rsidRPr="00F5251E">
        <w:t>age</w:t>
      </w:r>
      <w:r w:rsidR="002D4038">
        <w:t xml:space="preserve">.  </w:t>
      </w:r>
      <w:r w:rsidR="00D41A43">
        <w:t>DfE have</w:t>
      </w:r>
      <w:r w:rsidR="00390F93">
        <w:t xml:space="preserve"> used the 2026 to 2027 3 and 4-year-old Area Cost Adjustment (ACA).  To reflect relative SEND prevalence across LAs, DfE have used a proxy of free school meals (FSM) eligibility, based on the measure used for FSM in performance tables, and disability living allowance (DLA) entitlement data for 3 and 4-year-olds.</w:t>
      </w:r>
    </w:p>
    <w:p w14:paraId="21BD3F9A" w14:textId="1281FD52" w:rsidR="004E3474" w:rsidRPr="009F2DC1" w:rsidRDefault="004E3474" w:rsidP="00371577">
      <w:pPr>
        <w:shd w:val="clear" w:color="auto" w:fill="FFFFFF"/>
        <w:spacing w:after="0" w:line="240" w:lineRule="auto"/>
        <w:jc w:val="both"/>
        <w:rPr>
          <w:rFonts w:eastAsia="Times New Roman" w:cs="Arial"/>
          <w:b/>
          <w:bCs/>
          <w:color w:val="0B0C0C"/>
          <w:kern w:val="0"/>
          <w:u w:val="single"/>
          <w:lang w:eastAsia="en-GB"/>
          <w14:ligatures w14:val="none"/>
        </w:rPr>
      </w:pPr>
      <w:r>
        <w:rPr>
          <w:rFonts w:eastAsia="Times New Roman" w:cs="Arial"/>
          <w:b/>
          <w:bCs/>
          <w:color w:val="0B0C0C"/>
          <w:kern w:val="0"/>
          <w:u w:val="single"/>
          <w:lang w:eastAsia="en-GB"/>
          <w14:ligatures w14:val="none"/>
        </w:rPr>
        <w:t>How has the IEYF been calculated locally?</w:t>
      </w:r>
    </w:p>
    <w:p w14:paraId="1CA8AE6A" w14:textId="1FAE70DE" w:rsidR="004E3474" w:rsidRPr="004E3474" w:rsidRDefault="004E3474" w:rsidP="004E3474">
      <w:pPr>
        <w:jc w:val="both"/>
        <w:rPr>
          <w:rFonts w:eastAsia="Times New Roman" w:cs="Arial"/>
          <w:color w:val="0B0C0C"/>
          <w:kern w:val="0"/>
          <w:lang w:eastAsia="en-GB"/>
          <w14:ligatures w14:val="none"/>
        </w:rPr>
      </w:pPr>
      <w:r>
        <w:t>Nottingham City will distribute the IEYF to providers using the DfE recommended approach for local distribution</w:t>
      </w:r>
      <w:r w:rsidR="00C229F4">
        <w:t>,</w:t>
      </w:r>
      <w:r>
        <w:t xml:space="preserve"> as set out in the </w:t>
      </w:r>
      <w:hyperlink r:id="rId6" w:history="1">
        <w:r w:rsidRPr="00371577">
          <w:rPr>
            <w:rStyle w:val="Hyperlink"/>
          </w:rPr>
          <w:t>national guidance</w:t>
        </w:r>
      </w:hyperlink>
      <w:r>
        <w:t xml:space="preserve">.  The total allocation for the LA will be fully distributed to providers based on a base rate, plus an additional needs factor, mirroring the same criteria used in our local early years funding formula deprivation supplement, paid in respect of </w:t>
      </w:r>
      <w:r w:rsidRPr="00C81343">
        <w:t xml:space="preserve">3- and 4-year-old universal PTE’s.  We will </w:t>
      </w:r>
      <w:r w:rsidRPr="00C81343">
        <w:rPr>
          <w:rFonts w:eastAsia="Times New Roman" w:cs="Arial"/>
          <w:color w:val="0B0C0C"/>
          <w:kern w:val="0"/>
          <w:lang w:eastAsia="en-GB"/>
          <w14:ligatures w14:val="none"/>
        </w:rPr>
        <w:t>replicate the nationa</w:t>
      </w:r>
      <w:r w:rsidR="00C229F4">
        <w:rPr>
          <w:rFonts w:eastAsia="Times New Roman" w:cs="Arial"/>
          <w:color w:val="0B0C0C"/>
          <w:kern w:val="0"/>
          <w:lang w:eastAsia="en-GB"/>
          <w14:ligatures w14:val="none"/>
        </w:rPr>
        <w:t>l</w:t>
      </w:r>
      <w:r w:rsidRPr="00C81343">
        <w:rPr>
          <w:rFonts w:eastAsia="Times New Roman" w:cs="Arial"/>
          <w:color w:val="0B0C0C"/>
          <w:kern w:val="0"/>
          <w:lang w:eastAsia="en-GB"/>
          <w14:ligatures w14:val="none"/>
        </w:rPr>
        <w:t xml:space="preserve"> early years fund</w:t>
      </w:r>
      <w:r w:rsidR="00C229F4">
        <w:rPr>
          <w:rFonts w:eastAsia="Times New Roman" w:cs="Arial"/>
          <w:color w:val="0B0C0C"/>
          <w:kern w:val="0"/>
          <w:lang w:eastAsia="en-GB"/>
          <w14:ligatures w14:val="none"/>
        </w:rPr>
        <w:t>ing</w:t>
      </w:r>
      <w:r w:rsidRPr="00C81343">
        <w:rPr>
          <w:rFonts w:eastAsia="Times New Roman" w:cs="Arial"/>
          <w:color w:val="0B0C0C"/>
          <w:kern w:val="0"/>
          <w:lang w:eastAsia="en-GB"/>
          <w14:ligatures w14:val="none"/>
        </w:rPr>
        <w:t xml:space="preserve"> formula </w:t>
      </w:r>
      <w:r w:rsidRPr="004E3474">
        <w:rPr>
          <w:rFonts w:eastAsia="Times New Roman" w:cs="Arial"/>
          <w:color w:val="0B0C0C"/>
          <w:kern w:val="0"/>
          <w:lang w:eastAsia="en-GB"/>
          <w14:ligatures w14:val="none"/>
        </w:rPr>
        <w:t>which is weighted 75% base rate and 25% additional needs factors.</w:t>
      </w:r>
    </w:p>
    <w:p w14:paraId="284B1FEB" w14:textId="483A1EEC" w:rsidR="004E3474" w:rsidRPr="004E3474" w:rsidRDefault="004E3474" w:rsidP="004E3474">
      <w:pPr>
        <w:shd w:val="clear" w:color="auto" w:fill="FFFFFF"/>
        <w:spacing w:after="300" w:line="240" w:lineRule="auto"/>
        <w:jc w:val="both"/>
        <w:rPr>
          <w:rFonts w:eastAsia="Times New Roman" w:cs="Arial"/>
          <w:color w:val="0B0C0C"/>
          <w:kern w:val="0"/>
          <w:lang w:eastAsia="en-GB"/>
          <w14:ligatures w14:val="none"/>
        </w:rPr>
      </w:pPr>
      <w:r w:rsidRPr="004E3474">
        <w:rPr>
          <w:rFonts w:eastAsia="Times New Roman" w:cs="Arial"/>
          <w:color w:val="0B0C0C"/>
          <w:kern w:val="0"/>
          <w:lang w:eastAsia="en-GB"/>
          <w14:ligatures w14:val="none"/>
        </w:rPr>
        <w:t xml:space="preserve">The 75% base rate uses the DfE’s recommendation for allocating funding based on 3 and 4-year-old universal hours PTEs because, as a universal offer, this represents a full cohort of children and there is an increased likelihood of identifiable SEND needs emerging at this age. </w:t>
      </w:r>
    </w:p>
    <w:p w14:paraId="7B2E1C86" w14:textId="11B494E5" w:rsidR="00371577" w:rsidRPr="004E3474" w:rsidRDefault="004E3474" w:rsidP="004E3474">
      <w:pPr>
        <w:jc w:val="both"/>
        <w:rPr>
          <w:rFonts w:eastAsia="Times New Roman" w:cs="Arial"/>
          <w:color w:val="0B0C0C"/>
          <w:kern w:val="0"/>
          <w:lang w:eastAsia="en-GB"/>
          <w14:ligatures w14:val="none"/>
        </w:rPr>
      </w:pPr>
      <w:r>
        <w:rPr>
          <w:rFonts w:eastAsia="Times New Roman" w:cs="Arial"/>
          <w:color w:val="0B0C0C"/>
          <w:kern w:val="0"/>
          <w:lang w:eastAsia="en-GB"/>
          <w14:ligatures w14:val="none"/>
        </w:rPr>
        <w:t>The 25% additional needs factor is based on the number of children in receipt of Early Years Pupil Premium (EYPP) in line with DfE guidance which recommends using deprivation as a proxy for SEND needs due to the correlation between SEND and deprivation in the early years and it is reliable, available data already used within the local early years funding formulae.</w:t>
      </w:r>
    </w:p>
    <w:p w14:paraId="040DFB3C" w14:textId="73FA9189" w:rsidR="00371577" w:rsidRDefault="00371577" w:rsidP="00371577">
      <w:pPr>
        <w:shd w:val="clear" w:color="auto" w:fill="FFFFFF"/>
        <w:spacing w:after="0" w:line="240" w:lineRule="auto"/>
        <w:jc w:val="both"/>
        <w:rPr>
          <w:rFonts w:eastAsia="Times New Roman" w:cs="Arial"/>
          <w:b/>
          <w:bCs/>
          <w:color w:val="0B0C0C"/>
          <w:kern w:val="0"/>
          <w:u w:val="single"/>
          <w:lang w:eastAsia="en-GB"/>
          <w14:ligatures w14:val="none"/>
        </w:rPr>
      </w:pPr>
      <w:r w:rsidRPr="00371577">
        <w:rPr>
          <w:rFonts w:eastAsia="Times New Roman" w:cs="Arial"/>
          <w:b/>
          <w:bCs/>
          <w:color w:val="0B0C0C"/>
          <w:kern w:val="0"/>
          <w:u w:val="single"/>
          <w:lang w:eastAsia="en-GB"/>
          <w14:ligatures w14:val="none"/>
        </w:rPr>
        <w:t xml:space="preserve">How will the IEYF be allocated </w:t>
      </w:r>
      <w:r w:rsidR="00C81343">
        <w:rPr>
          <w:rFonts w:eastAsia="Times New Roman" w:cs="Arial"/>
          <w:b/>
          <w:bCs/>
          <w:color w:val="0B0C0C"/>
          <w:kern w:val="0"/>
          <w:u w:val="single"/>
          <w:lang w:eastAsia="en-GB"/>
          <w14:ligatures w14:val="none"/>
        </w:rPr>
        <w:t xml:space="preserve">to settings? </w:t>
      </w:r>
    </w:p>
    <w:p w14:paraId="3B63BC30" w14:textId="3CEA373E" w:rsidR="004E3474" w:rsidRDefault="00C81343" w:rsidP="004E3474">
      <w:pPr>
        <w:jc w:val="both"/>
        <w:rPr>
          <w:rFonts w:eastAsia="Times New Roman" w:cs="Arial"/>
          <w:color w:val="0B0C0C"/>
          <w:kern w:val="0"/>
          <w:lang w:eastAsia="en-GB"/>
          <w14:ligatures w14:val="none"/>
        </w:rPr>
      </w:pPr>
      <w:r>
        <w:rPr>
          <w:rFonts w:eastAsia="Times New Roman" w:cs="Arial"/>
          <w:color w:val="0B0C0C"/>
          <w:kern w:val="0"/>
          <w:lang w:eastAsia="en-GB"/>
          <w14:ligatures w14:val="none"/>
        </w:rPr>
        <w:t xml:space="preserve">All funded providers will initially have an allocation calculation prepared on the base rate and additional needs factor, based on the number of 3- &amp; 4-year-old </w:t>
      </w:r>
      <w:r w:rsidR="004E3474">
        <w:rPr>
          <w:rFonts w:eastAsia="Times New Roman" w:cs="Arial"/>
          <w:color w:val="0B0C0C"/>
          <w:kern w:val="0"/>
          <w:lang w:eastAsia="en-GB"/>
          <w14:ligatures w14:val="none"/>
        </w:rPr>
        <w:t xml:space="preserve">universal </w:t>
      </w:r>
      <w:r>
        <w:rPr>
          <w:rFonts w:eastAsia="Times New Roman" w:cs="Arial"/>
          <w:color w:val="0B0C0C"/>
          <w:kern w:val="0"/>
          <w:lang w:eastAsia="en-GB"/>
          <w14:ligatures w14:val="none"/>
        </w:rPr>
        <w:t xml:space="preserve">PTE children on the January 2026 census. </w:t>
      </w:r>
    </w:p>
    <w:p w14:paraId="4FB0E35E" w14:textId="0C2ED4EE" w:rsidR="0049651A" w:rsidRPr="00F5251E" w:rsidRDefault="00C81343" w:rsidP="004E3474">
      <w:pPr>
        <w:jc w:val="both"/>
        <w:rPr>
          <w:rFonts w:ascii="Arial" w:eastAsia="Times New Roman" w:hAnsi="Arial" w:cs="Arial"/>
          <w:color w:val="0B0C0C"/>
          <w:kern w:val="0"/>
          <w:sz w:val="24"/>
          <w:szCs w:val="24"/>
          <w:lang w:eastAsia="en-GB"/>
          <w14:ligatures w14:val="none"/>
        </w:rPr>
      </w:pPr>
      <w:r>
        <w:rPr>
          <w:rFonts w:eastAsia="Times New Roman" w:cs="Arial"/>
          <w:color w:val="0B0C0C"/>
          <w:kern w:val="0"/>
          <w:lang w:eastAsia="en-GB"/>
          <w14:ligatures w14:val="none"/>
        </w:rPr>
        <w:lastRenderedPageBreak/>
        <w:t xml:space="preserve">For providers whose initial calculation does not reach £1,000, we will implement a de minimis threshold, in line with the national guidance and these providers will be excluded from </w:t>
      </w:r>
      <w:r w:rsidRPr="00C81343">
        <w:rPr>
          <w:rFonts w:eastAsia="Times New Roman" w:cs="Arial"/>
          <w:color w:val="0B0C0C"/>
          <w:kern w:val="0"/>
          <w:lang w:eastAsia="en-GB"/>
          <w14:ligatures w14:val="none"/>
        </w:rPr>
        <w:t xml:space="preserve">receiving the grant at this point and </w:t>
      </w:r>
      <w:r w:rsidRPr="004E3474">
        <w:rPr>
          <w:rFonts w:eastAsia="Times New Roman" w:cs="Arial"/>
          <w:color w:val="0B0C0C"/>
          <w:kern w:val="0"/>
          <w:lang w:eastAsia="en-GB"/>
          <w14:ligatures w14:val="none"/>
        </w:rPr>
        <w:t>their allocations redistributed across the remaining providers</w:t>
      </w:r>
      <w:r w:rsidR="00C229F4">
        <w:rPr>
          <w:rFonts w:eastAsia="Times New Roman" w:cs="Arial"/>
          <w:color w:val="0B0C0C"/>
          <w:kern w:val="0"/>
          <w:lang w:eastAsia="en-GB"/>
          <w14:ligatures w14:val="none"/>
        </w:rPr>
        <w:t>. This is</w:t>
      </w:r>
      <w:r w:rsidRPr="004E3474">
        <w:rPr>
          <w:rFonts w:eastAsia="Times New Roman" w:cs="Arial"/>
          <w:color w:val="0B0C0C"/>
          <w:kern w:val="0"/>
          <w:lang w:eastAsia="en-GB"/>
          <w14:ligatures w14:val="none"/>
        </w:rPr>
        <w:t xml:space="preserve"> </w:t>
      </w:r>
      <w:r w:rsidR="0049651A" w:rsidRPr="004E3474">
        <w:rPr>
          <w:rFonts w:eastAsia="Times New Roman" w:cs="Arial"/>
          <w:color w:val="0B0C0C"/>
          <w:kern w:val="0"/>
          <w:lang w:eastAsia="en-GB"/>
          <w14:ligatures w14:val="none"/>
        </w:rPr>
        <w:t>to ensure all providers receiving the grant receive a</w:t>
      </w:r>
      <w:r w:rsidR="004E3474">
        <w:rPr>
          <w:rFonts w:eastAsia="Times New Roman" w:cs="Arial"/>
          <w:color w:val="0B0C0C"/>
          <w:kern w:val="0"/>
          <w:lang w:eastAsia="en-GB"/>
          <w14:ligatures w14:val="none"/>
        </w:rPr>
        <w:t xml:space="preserve">n amount substantial enough to effect meaningful change in inclusive practice at setting level.  </w:t>
      </w:r>
      <w:r w:rsidR="004E3474" w:rsidRPr="004E3474">
        <w:rPr>
          <w:rFonts w:eastAsia="Times New Roman" w:cs="Arial"/>
          <w:color w:val="0B0C0C"/>
          <w:kern w:val="0"/>
          <w:lang w:eastAsia="en-GB"/>
          <w14:ligatures w14:val="none"/>
        </w:rPr>
        <w:t xml:space="preserve">This supports </w:t>
      </w:r>
      <w:r w:rsidR="0049651A" w:rsidRPr="004E3474">
        <w:rPr>
          <w:rFonts w:eastAsia="Times New Roman" w:cs="Arial"/>
          <w:color w:val="0B0C0C"/>
          <w:kern w:val="0"/>
          <w:lang w:eastAsia="en-GB"/>
          <w14:ligatures w14:val="none"/>
        </w:rPr>
        <w:t>value for money by avoiding small allocations that would be insufficient to support the development of mainstream inclusive practice.</w:t>
      </w:r>
    </w:p>
    <w:p w14:paraId="1F0B2836" w14:textId="18A121CC" w:rsidR="004E3474" w:rsidRPr="00C83770" w:rsidRDefault="004E3474" w:rsidP="00C83770">
      <w:pPr>
        <w:shd w:val="clear" w:color="auto" w:fill="FFFFFF"/>
        <w:spacing w:after="0" w:line="240" w:lineRule="auto"/>
        <w:jc w:val="both"/>
        <w:rPr>
          <w:rFonts w:eastAsia="Times New Roman" w:cs="Arial"/>
          <w:b/>
          <w:bCs/>
          <w:color w:val="0B0C0C"/>
          <w:kern w:val="0"/>
          <w:u w:val="single"/>
          <w:lang w:eastAsia="en-GB"/>
          <w14:ligatures w14:val="none"/>
        </w:rPr>
      </w:pPr>
      <w:r w:rsidRPr="00C83770">
        <w:rPr>
          <w:rFonts w:eastAsia="Times New Roman" w:cs="Arial"/>
          <w:b/>
          <w:bCs/>
          <w:color w:val="0B0C0C"/>
          <w:kern w:val="0"/>
          <w:u w:val="single"/>
          <w:lang w:eastAsia="en-GB"/>
          <w14:ligatures w14:val="none"/>
        </w:rPr>
        <w:t>What age range is the IEYF to support?</w:t>
      </w:r>
    </w:p>
    <w:p w14:paraId="4C84E04F" w14:textId="331D48A1" w:rsidR="004E3474" w:rsidRDefault="004E3474" w:rsidP="00C83770">
      <w:pPr>
        <w:shd w:val="clear" w:color="auto" w:fill="FFFFFF"/>
        <w:spacing w:after="0" w:line="240" w:lineRule="auto"/>
        <w:jc w:val="both"/>
        <w:rPr>
          <w:rFonts w:eastAsia="Times New Roman" w:cs="Arial"/>
          <w:color w:val="0B0C0C"/>
          <w:kern w:val="0"/>
          <w:lang w:eastAsia="en-GB"/>
          <w14:ligatures w14:val="none"/>
        </w:rPr>
      </w:pPr>
      <w:r w:rsidRPr="00C83770">
        <w:rPr>
          <w:rFonts w:eastAsia="Times New Roman" w:cs="Arial"/>
          <w:color w:val="0B0C0C"/>
          <w:kern w:val="0"/>
          <w:lang w:eastAsia="en-GB"/>
          <w14:ligatures w14:val="none"/>
        </w:rPr>
        <w:t>Whilst the funding has been distributed based on 3 and 4-year-old universal entitlement PTE numbers, the funding is intended to help providers adopt setting-wide inclusive practices and should be used to benefit children across the setting.</w:t>
      </w:r>
    </w:p>
    <w:p w14:paraId="48396713" w14:textId="77777777" w:rsidR="002D4038" w:rsidRDefault="002D4038" w:rsidP="00C83770">
      <w:pPr>
        <w:shd w:val="clear" w:color="auto" w:fill="FFFFFF"/>
        <w:spacing w:after="0" w:line="240" w:lineRule="auto"/>
        <w:jc w:val="both"/>
        <w:rPr>
          <w:rFonts w:eastAsia="Times New Roman" w:cs="Arial"/>
          <w:color w:val="0B0C0C"/>
          <w:kern w:val="0"/>
          <w:lang w:eastAsia="en-GB"/>
          <w14:ligatures w14:val="none"/>
        </w:rPr>
      </w:pPr>
    </w:p>
    <w:p w14:paraId="28608543" w14:textId="364A1C96" w:rsidR="009F2DC1" w:rsidRDefault="00390F93" w:rsidP="002D4038">
      <w:pPr>
        <w:shd w:val="clear" w:color="auto" w:fill="FFFFFF"/>
        <w:spacing w:after="0" w:line="240" w:lineRule="auto"/>
        <w:jc w:val="both"/>
        <w:rPr>
          <w:rFonts w:eastAsia="Times New Roman" w:cs="Arial"/>
          <w:b/>
          <w:bCs/>
          <w:color w:val="0B0C0C"/>
          <w:kern w:val="0"/>
          <w:u w:val="single"/>
          <w:lang w:eastAsia="en-GB"/>
          <w14:ligatures w14:val="none"/>
        </w:rPr>
      </w:pPr>
      <w:r w:rsidRPr="002D4038">
        <w:rPr>
          <w:rFonts w:eastAsia="Times New Roman" w:cs="Arial"/>
          <w:b/>
          <w:bCs/>
          <w:color w:val="0B0C0C"/>
          <w:kern w:val="0"/>
          <w:u w:val="single"/>
          <w:lang w:eastAsia="en-GB"/>
          <w14:ligatures w14:val="none"/>
        </w:rPr>
        <w:t>How will the IEYF be paid?</w:t>
      </w:r>
    </w:p>
    <w:p w14:paraId="3E15720E" w14:textId="1A533AC6" w:rsidR="002D4038" w:rsidRPr="002D4038" w:rsidRDefault="002D4038" w:rsidP="002D4038">
      <w:pPr>
        <w:shd w:val="clear" w:color="auto" w:fill="FFFFFF"/>
        <w:spacing w:after="300" w:line="240" w:lineRule="auto"/>
        <w:jc w:val="both"/>
        <w:rPr>
          <w:rFonts w:eastAsia="Times New Roman" w:cs="Arial"/>
          <w:color w:val="0B0C0C"/>
          <w:kern w:val="0"/>
          <w:lang w:eastAsia="en-GB"/>
          <w14:ligatures w14:val="none"/>
        </w:rPr>
      </w:pPr>
      <w:r w:rsidRPr="0049651A">
        <w:rPr>
          <w:rFonts w:eastAsia="Times New Roman" w:cs="Arial"/>
          <w:color w:val="0B0C0C"/>
          <w:kern w:val="0"/>
          <w:lang w:eastAsia="en-GB"/>
          <w14:ligatures w14:val="none"/>
        </w:rPr>
        <w:t>To support providers in adopting setting-wide inclusive practices and intervening early to support children with SEND, funding must be provided upfront, without requiring panel or application processes and without being tied to individual children.</w:t>
      </w:r>
    </w:p>
    <w:p w14:paraId="0A9D0783" w14:textId="348111DC" w:rsidR="002D4038" w:rsidRPr="002D4038" w:rsidRDefault="002D4038" w:rsidP="002D4038">
      <w:pPr>
        <w:pStyle w:val="ListParagraph"/>
        <w:numPr>
          <w:ilvl w:val="0"/>
          <w:numId w:val="13"/>
        </w:numPr>
        <w:shd w:val="clear" w:color="auto" w:fill="FFFFFF"/>
        <w:spacing w:after="0" w:line="240" w:lineRule="auto"/>
        <w:jc w:val="both"/>
        <w:rPr>
          <w:rFonts w:eastAsia="Times New Roman" w:cs="Arial"/>
          <w:color w:val="0B0C0C"/>
          <w:kern w:val="0"/>
          <w:lang w:eastAsia="en-GB"/>
          <w14:ligatures w14:val="none"/>
        </w:rPr>
      </w:pPr>
      <w:r w:rsidRPr="002D4038">
        <w:rPr>
          <w:rFonts w:eastAsia="Times New Roman" w:cs="Arial"/>
          <w:color w:val="0B0C0C"/>
          <w:kern w:val="0"/>
          <w:lang w:eastAsia="en-GB"/>
          <w14:ligatures w14:val="none"/>
        </w:rPr>
        <w:t xml:space="preserve">Payments will be made from the DfE to </w:t>
      </w:r>
      <w:r w:rsidR="00C229F4" w:rsidRPr="002D4038">
        <w:rPr>
          <w:rFonts w:eastAsia="Times New Roman" w:cs="Arial"/>
          <w:color w:val="0B0C0C"/>
          <w:kern w:val="0"/>
          <w:lang w:eastAsia="en-GB"/>
          <w14:ligatures w14:val="none"/>
        </w:rPr>
        <w:t>LAs</w:t>
      </w:r>
      <w:r w:rsidRPr="002D4038">
        <w:rPr>
          <w:rFonts w:eastAsia="Times New Roman" w:cs="Arial"/>
          <w:color w:val="0B0C0C"/>
          <w:kern w:val="0"/>
          <w:lang w:eastAsia="en-GB"/>
          <w14:ligatures w14:val="none"/>
        </w:rPr>
        <w:t xml:space="preserve"> in July 2026 for the 2026-27 financial year</w:t>
      </w:r>
    </w:p>
    <w:p w14:paraId="4535E96E" w14:textId="0BADE4BF" w:rsidR="002D4038" w:rsidRPr="00EA4EDD" w:rsidRDefault="002D4038" w:rsidP="002D4038">
      <w:pPr>
        <w:pStyle w:val="ListParagraph"/>
        <w:numPr>
          <w:ilvl w:val="0"/>
          <w:numId w:val="13"/>
        </w:numPr>
        <w:shd w:val="clear" w:color="auto" w:fill="FFFFFF"/>
        <w:spacing w:after="0" w:line="240" w:lineRule="auto"/>
        <w:jc w:val="both"/>
        <w:rPr>
          <w:rFonts w:eastAsia="Times New Roman" w:cs="Arial"/>
          <w:color w:val="0B0C0C"/>
          <w:kern w:val="0"/>
          <w:lang w:eastAsia="en-GB"/>
          <w14:ligatures w14:val="none"/>
        </w:rPr>
      </w:pPr>
      <w:r w:rsidRPr="00EA4EDD">
        <w:rPr>
          <w:rFonts w:eastAsia="Times New Roman" w:cs="Arial"/>
          <w:color w:val="0B0C0C"/>
          <w:kern w:val="0"/>
          <w:lang w:eastAsia="en-GB"/>
          <w14:ligatures w14:val="none"/>
        </w:rPr>
        <w:t>If your early years provision calculation reaches the £1,000 de minimis threshold you will be contacted directly by the end of August 2026</w:t>
      </w:r>
    </w:p>
    <w:p w14:paraId="637495A0" w14:textId="689C3C64" w:rsidR="002D4038" w:rsidRDefault="002D4038" w:rsidP="002D4038">
      <w:pPr>
        <w:pStyle w:val="ListParagraph"/>
        <w:numPr>
          <w:ilvl w:val="0"/>
          <w:numId w:val="13"/>
        </w:numPr>
        <w:shd w:val="clear" w:color="auto" w:fill="FFFFFF"/>
        <w:spacing w:after="0" w:line="240" w:lineRule="auto"/>
        <w:jc w:val="both"/>
        <w:rPr>
          <w:rFonts w:eastAsia="Times New Roman" w:cs="Arial"/>
          <w:color w:val="0B0C0C"/>
          <w:kern w:val="0"/>
          <w:lang w:eastAsia="en-GB"/>
          <w14:ligatures w14:val="none"/>
        </w:rPr>
      </w:pPr>
      <w:r>
        <w:rPr>
          <w:rFonts w:eastAsia="Times New Roman" w:cs="Arial"/>
          <w:color w:val="0B0C0C"/>
          <w:kern w:val="0"/>
          <w:lang w:eastAsia="en-GB"/>
          <w14:ligatures w14:val="none"/>
        </w:rPr>
        <w:t>The LA will make one lump sum payment to all eligible providers by the end of September 2026</w:t>
      </w:r>
    </w:p>
    <w:p w14:paraId="55F95123" w14:textId="023BE342" w:rsidR="002D4038" w:rsidRDefault="002D4038" w:rsidP="002D4038">
      <w:pPr>
        <w:shd w:val="clear" w:color="auto" w:fill="FFFFFF"/>
        <w:spacing w:after="0" w:line="240" w:lineRule="auto"/>
        <w:jc w:val="both"/>
        <w:rPr>
          <w:rFonts w:eastAsia="Times New Roman" w:cs="Arial"/>
          <w:color w:val="0B0C0C"/>
          <w:kern w:val="0"/>
          <w:lang w:eastAsia="en-GB"/>
          <w14:ligatures w14:val="none"/>
        </w:rPr>
      </w:pPr>
    </w:p>
    <w:p w14:paraId="15493CEC" w14:textId="77777777" w:rsidR="002D4038" w:rsidRPr="00EA4EDD" w:rsidRDefault="002D4038" w:rsidP="00C229F4">
      <w:pPr>
        <w:spacing w:after="0" w:line="240" w:lineRule="auto"/>
        <w:rPr>
          <w:b/>
          <w:bCs/>
          <w:u w:val="single"/>
        </w:rPr>
      </w:pPr>
      <w:r w:rsidRPr="00EA4EDD">
        <w:rPr>
          <w:b/>
          <w:bCs/>
          <w:u w:val="single"/>
        </w:rPr>
        <w:t>What can the IEYF be used for?</w:t>
      </w:r>
    </w:p>
    <w:p w14:paraId="35B2DE8F" w14:textId="77777777" w:rsidR="002D4038" w:rsidRDefault="002D4038" w:rsidP="00C229F4">
      <w:pPr>
        <w:spacing w:after="0" w:line="240" w:lineRule="auto"/>
        <w:jc w:val="both"/>
      </w:pPr>
      <w:r>
        <w:t>The IEYF is to help providers become more inclusive of children with SEND. While the specific use of funding will vary between providers, it could support activities such as:</w:t>
      </w:r>
    </w:p>
    <w:p w14:paraId="2A10EFF6" w14:textId="77777777" w:rsidR="002D4038" w:rsidRDefault="002D4038" w:rsidP="002D4038">
      <w:pPr>
        <w:numPr>
          <w:ilvl w:val="0"/>
          <w:numId w:val="12"/>
        </w:numPr>
        <w:spacing w:after="0" w:line="240" w:lineRule="auto"/>
        <w:jc w:val="both"/>
      </w:pPr>
      <w:r>
        <w:t>strategic planning</w:t>
      </w:r>
    </w:p>
    <w:p w14:paraId="66D28C4D" w14:textId="77777777" w:rsidR="002D4038" w:rsidRDefault="002D4038" w:rsidP="002D4038">
      <w:pPr>
        <w:numPr>
          <w:ilvl w:val="0"/>
          <w:numId w:val="12"/>
        </w:numPr>
        <w:spacing w:after="0" w:line="240" w:lineRule="auto"/>
        <w:jc w:val="both"/>
      </w:pPr>
      <w:r>
        <w:t xml:space="preserve">workforce development – for example, this could include increasing staffing within settings, or freeing up staff to attend training </w:t>
      </w:r>
    </w:p>
    <w:p w14:paraId="365D614E" w14:textId="77777777" w:rsidR="002D4038" w:rsidRDefault="002D4038" w:rsidP="002D4038">
      <w:pPr>
        <w:numPr>
          <w:ilvl w:val="0"/>
          <w:numId w:val="12"/>
        </w:numPr>
        <w:spacing w:after="0" w:line="240" w:lineRule="auto"/>
        <w:jc w:val="both"/>
      </w:pPr>
      <w:r>
        <w:t>adaptations or resources to create an inclusive environment</w:t>
      </w:r>
    </w:p>
    <w:p w14:paraId="376AC66D" w14:textId="77777777" w:rsidR="002D4038" w:rsidRDefault="002D4038" w:rsidP="002D4038">
      <w:pPr>
        <w:spacing w:after="0" w:line="240" w:lineRule="auto"/>
        <w:ind w:left="720"/>
        <w:jc w:val="both"/>
      </w:pPr>
    </w:p>
    <w:p w14:paraId="164B1C51" w14:textId="77777777" w:rsidR="002D4038" w:rsidRDefault="002D4038" w:rsidP="002D4038">
      <w:pPr>
        <w:spacing w:after="0" w:line="240" w:lineRule="auto"/>
        <w:jc w:val="both"/>
      </w:pPr>
      <w:r>
        <w:t>It is expected that the DfE will publish further guidance on the use of the IEYF and how to complements other SEND funding for children in early years.</w:t>
      </w:r>
    </w:p>
    <w:p w14:paraId="5A8A054C" w14:textId="77777777" w:rsidR="002D4038" w:rsidRDefault="002D4038" w:rsidP="002D4038">
      <w:pPr>
        <w:spacing w:after="0" w:line="240" w:lineRule="auto"/>
        <w:jc w:val="both"/>
      </w:pPr>
    </w:p>
    <w:p w14:paraId="7BFA2573" w14:textId="77777777" w:rsidR="002D4038" w:rsidRPr="00EA4EDD" w:rsidRDefault="002D4038" w:rsidP="002D4038">
      <w:pPr>
        <w:spacing w:after="0" w:line="240" w:lineRule="auto"/>
        <w:jc w:val="both"/>
        <w:rPr>
          <w:b/>
          <w:bCs/>
          <w:u w:val="single"/>
        </w:rPr>
      </w:pPr>
      <w:r w:rsidRPr="00EA4EDD">
        <w:rPr>
          <w:b/>
          <w:bCs/>
          <w:u w:val="single"/>
        </w:rPr>
        <w:t>Do providers need to monitor the IEYF?</w:t>
      </w:r>
    </w:p>
    <w:p w14:paraId="467B9BBF" w14:textId="77777777" w:rsidR="002D4038" w:rsidRPr="002D4038" w:rsidRDefault="002D4038" w:rsidP="002D4038">
      <w:pPr>
        <w:spacing w:after="0" w:line="240" w:lineRule="auto"/>
        <w:jc w:val="both"/>
      </w:pPr>
      <w:r>
        <w:t xml:space="preserve">Early Years providers should use the IEYF for its intended purpose and should retain financial </w:t>
      </w:r>
      <w:r w:rsidRPr="002D4038">
        <w:t>records showing how the IEYF has been spent, but the LA will take a proportionate approach to this oversight</w:t>
      </w:r>
      <w:r>
        <w:t xml:space="preserve"> and will draw on existing systems rather than introduce additional administrative processes.  This</w:t>
      </w:r>
      <w:r w:rsidRPr="002D4038">
        <w:t xml:space="preserve"> may include:</w:t>
      </w:r>
    </w:p>
    <w:p w14:paraId="0F12C8AE" w14:textId="77777777" w:rsidR="002D4038" w:rsidRPr="002D4038" w:rsidRDefault="002D4038" w:rsidP="002D4038">
      <w:pPr>
        <w:pStyle w:val="ListParagraph"/>
        <w:numPr>
          <w:ilvl w:val="0"/>
          <w:numId w:val="16"/>
        </w:numPr>
        <w:shd w:val="clear" w:color="auto" w:fill="FFFFFF"/>
        <w:spacing w:after="150" w:line="240" w:lineRule="auto"/>
        <w:jc w:val="both"/>
        <w:rPr>
          <w:rFonts w:eastAsia="Times New Roman" w:cs="Arial"/>
          <w:color w:val="0B0C0C"/>
          <w:kern w:val="0"/>
          <w:lang w:eastAsia="en-GB"/>
          <w14:ligatures w14:val="none"/>
        </w:rPr>
      </w:pPr>
      <w:r w:rsidRPr="002D4038">
        <w:rPr>
          <w:rFonts w:eastAsia="Times New Roman" w:cs="Arial"/>
          <w:color w:val="0B0C0C"/>
          <w:kern w:val="0"/>
          <w:lang w:eastAsia="en-GB"/>
          <w14:ligatures w14:val="none"/>
        </w:rPr>
        <w:t>requesting a summary from providers of how they have used the funds</w:t>
      </w:r>
    </w:p>
    <w:p w14:paraId="5EA969F7" w14:textId="77777777" w:rsidR="002D4038" w:rsidRPr="002D4038" w:rsidRDefault="002D4038" w:rsidP="002D4038">
      <w:pPr>
        <w:pStyle w:val="ListParagraph"/>
        <w:numPr>
          <w:ilvl w:val="0"/>
          <w:numId w:val="16"/>
        </w:numPr>
        <w:shd w:val="clear" w:color="auto" w:fill="FFFFFF"/>
        <w:spacing w:after="150" w:line="240" w:lineRule="auto"/>
        <w:jc w:val="both"/>
        <w:rPr>
          <w:rFonts w:eastAsia="Times New Roman" w:cs="Arial"/>
          <w:color w:val="0B0C0C"/>
          <w:kern w:val="0"/>
          <w:lang w:eastAsia="en-GB"/>
          <w14:ligatures w14:val="none"/>
        </w:rPr>
      </w:pPr>
      <w:r w:rsidRPr="002D4038">
        <w:rPr>
          <w:rFonts w:eastAsia="Times New Roman" w:cs="Arial"/>
          <w:color w:val="0B0C0C"/>
          <w:kern w:val="0"/>
          <w:lang w:eastAsia="en-GB"/>
          <w14:ligatures w14:val="none"/>
        </w:rPr>
        <w:t>using existing accountability mechanisms, such as review forms already used for SENIF applications</w:t>
      </w:r>
    </w:p>
    <w:p w14:paraId="24530FC2" w14:textId="77777777" w:rsidR="002D4038" w:rsidRDefault="002D4038" w:rsidP="002D4038">
      <w:pPr>
        <w:pStyle w:val="ListParagraph"/>
        <w:numPr>
          <w:ilvl w:val="0"/>
          <w:numId w:val="16"/>
        </w:numPr>
        <w:shd w:val="clear" w:color="auto" w:fill="FFFFFF"/>
        <w:spacing w:after="150" w:line="240" w:lineRule="auto"/>
        <w:jc w:val="both"/>
        <w:rPr>
          <w:rFonts w:eastAsia="Times New Roman" w:cs="Arial"/>
          <w:color w:val="0B0C0C"/>
          <w:kern w:val="0"/>
          <w:lang w:eastAsia="en-GB"/>
          <w14:ligatures w14:val="none"/>
        </w:rPr>
      </w:pPr>
      <w:r w:rsidRPr="002D4038">
        <w:rPr>
          <w:rFonts w:eastAsia="Times New Roman" w:cs="Arial"/>
          <w:color w:val="0B0C0C"/>
          <w:kern w:val="0"/>
          <w:lang w:eastAsia="en-GB"/>
          <w14:ligatures w14:val="none"/>
        </w:rPr>
        <w:t>sampling a range of provider types and sizes through existing engagement forums to understand the use of funding and any emerging trends</w:t>
      </w:r>
    </w:p>
    <w:p w14:paraId="48D33901" w14:textId="03861142" w:rsidR="002D4038" w:rsidRPr="002D4038" w:rsidRDefault="002D4038" w:rsidP="00C229F4">
      <w:pPr>
        <w:shd w:val="clear" w:color="auto" w:fill="FFFFFF"/>
        <w:spacing w:after="150" w:line="240" w:lineRule="auto"/>
        <w:jc w:val="both"/>
        <w:rPr>
          <w:rFonts w:eastAsia="Times New Roman" w:cs="Arial"/>
          <w:color w:val="0B0C0C"/>
          <w:kern w:val="0"/>
          <w:lang w:eastAsia="en-GB"/>
          <w14:ligatures w14:val="none"/>
        </w:rPr>
      </w:pPr>
      <w:r>
        <w:rPr>
          <w:rFonts w:eastAsia="Times New Roman" w:cs="Arial"/>
          <w:color w:val="0B0C0C"/>
          <w:kern w:val="0"/>
          <w:lang w:eastAsia="en-GB"/>
          <w14:ligatures w14:val="none"/>
        </w:rPr>
        <w:t>As an LA, we will aim to understand how the IEYF has been spent and how it has supported improvements to mainstream inclusive practice.</w:t>
      </w:r>
    </w:p>
    <w:p w14:paraId="105FA716" w14:textId="065C7C26" w:rsidR="0049651A" w:rsidRPr="0049651A" w:rsidRDefault="0049651A" w:rsidP="0049651A">
      <w:pPr>
        <w:shd w:val="clear" w:color="auto" w:fill="FFFFFF"/>
        <w:spacing w:after="0" w:line="240" w:lineRule="auto"/>
        <w:jc w:val="both"/>
        <w:rPr>
          <w:rFonts w:eastAsia="Times New Roman" w:cs="Arial"/>
          <w:b/>
          <w:bCs/>
          <w:color w:val="0B0C0C"/>
          <w:kern w:val="0"/>
          <w:u w:val="single"/>
          <w:lang w:eastAsia="en-GB"/>
          <w14:ligatures w14:val="none"/>
        </w:rPr>
      </w:pPr>
      <w:r w:rsidRPr="0049651A">
        <w:rPr>
          <w:rFonts w:eastAsia="Times New Roman" w:cs="Arial"/>
          <w:b/>
          <w:bCs/>
          <w:color w:val="0B0C0C"/>
          <w:kern w:val="0"/>
          <w:u w:val="single"/>
          <w:lang w:eastAsia="en-GB"/>
          <w14:ligatures w14:val="none"/>
        </w:rPr>
        <w:t>Is the IEYF just for 2026-27?</w:t>
      </w:r>
    </w:p>
    <w:p w14:paraId="76D39E7B" w14:textId="5D1FD447" w:rsidR="0049651A" w:rsidRDefault="0049651A" w:rsidP="0049651A">
      <w:pPr>
        <w:shd w:val="clear" w:color="auto" w:fill="FFFFFF"/>
        <w:spacing w:after="0" w:line="240" w:lineRule="auto"/>
        <w:jc w:val="both"/>
        <w:rPr>
          <w:rFonts w:eastAsia="Times New Roman" w:cs="Arial"/>
          <w:color w:val="0B0C0C"/>
          <w:kern w:val="0"/>
          <w:lang w:eastAsia="en-GB"/>
          <w14:ligatures w14:val="none"/>
        </w:rPr>
      </w:pPr>
      <w:r>
        <w:rPr>
          <w:rFonts w:eastAsia="Times New Roman" w:cs="Arial"/>
          <w:color w:val="0B0C0C"/>
          <w:kern w:val="0"/>
          <w:lang w:eastAsia="en-GB"/>
          <w14:ligatures w14:val="none"/>
        </w:rPr>
        <w:t>The IEYF also provides funding for the 2027-28 and 2028-29 financial years and the approach to distributing this funding in future years will be confirmed alongside early years funding arrangements for the respective years.</w:t>
      </w:r>
    </w:p>
    <w:p w14:paraId="01FF1E17" w14:textId="77777777" w:rsidR="009F2DC1" w:rsidRDefault="009F2DC1" w:rsidP="0049651A">
      <w:pPr>
        <w:shd w:val="clear" w:color="auto" w:fill="FFFFFF"/>
        <w:spacing w:after="0" w:line="240" w:lineRule="auto"/>
        <w:jc w:val="both"/>
        <w:rPr>
          <w:rFonts w:eastAsia="Times New Roman" w:cs="Arial"/>
          <w:color w:val="0B0C0C"/>
          <w:kern w:val="0"/>
          <w:lang w:eastAsia="en-GB"/>
          <w14:ligatures w14:val="none"/>
        </w:rPr>
      </w:pPr>
    </w:p>
    <w:p w14:paraId="644EA8DF" w14:textId="2786C946" w:rsidR="009F2DC1" w:rsidRPr="0049651A" w:rsidRDefault="009F2DC1" w:rsidP="009F2DC1">
      <w:pPr>
        <w:shd w:val="clear" w:color="auto" w:fill="FFFFFF"/>
        <w:spacing w:after="0" w:line="240" w:lineRule="auto"/>
        <w:rPr>
          <w:rFonts w:eastAsia="Times New Roman" w:cs="Arial"/>
          <w:b/>
          <w:bCs/>
          <w:color w:val="0B0C0C"/>
          <w:kern w:val="0"/>
          <w:u w:val="single"/>
          <w:lang w:eastAsia="en-GB"/>
          <w14:ligatures w14:val="none"/>
        </w:rPr>
      </w:pPr>
      <w:r w:rsidRPr="0049651A">
        <w:rPr>
          <w:rFonts w:eastAsia="Times New Roman" w:cs="Arial"/>
          <w:b/>
          <w:bCs/>
          <w:color w:val="0B0C0C"/>
          <w:kern w:val="0"/>
          <w:u w:val="single"/>
          <w:lang w:eastAsia="en-GB"/>
          <w14:ligatures w14:val="none"/>
        </w:rPr>
        <w:lastRenderedPageBreak/>
        <w:t xml:space="preserve">What if a </w:t>
      </w:r>
      <w:r w:rsidR="00C83770">
        <w:rPr>
          <w:rFonts w:eastAsia="Times New Roman" w:cs="Arial"/>
          <w:b/>
          <w:bCs/>
          <w:color w:val="0B0C0C"/>
          <w:kern w:val="0"/>
          <w:u w:val="single"/>
          <w:lang w:eastAsia="en-GB"/>
          <w14:ligatures w14:val="none"/>
        </w:rPr>
        <w:t>provider doesn’t meet the £1,000 threshold and</w:t>
      </w:r>
      <w:r w:rsidRPr="0049651A">
        <w:rPr>
          <w:rFonts w:eastAsia="Times New Roman" w:cs="Arial"/>
          <w:b/>
          <w:bCs/>
          <w:color w:val="0B0C0C"/>
          <w:kern w:val="0"/>
          <w:u w:val="single"/>
          <w:lang w:eastAsia="en-GB"/>
          <w14:ligatures w14:val="none"/>
        </w:rPr>
        <w:t xml:space="preserve"> isn’t eligible for support through the IEYF?</w:t>
      </w:r>
    </w:p>
    <w:p w14:paraId="70D50BA8" w14:textId="4751E749" w:rsidR="00C83770" w:rsidRDefault="00C83770" w:rsidP="009F2DC1">
      <w:pPr>
        <w:shd w:val="clear" w:color="auto" w:fill="FFFFFF"/>
        <w:spacing w:after="0" w:line="240" w:lineRule="auto"/>
        <w:jc w:val="both"/>
        <w:rPr>
          <w:rFonts w:eastAsia="Times New Roman" w:cs="Arial"/>
          <w:color w:val="0B0C0C"/>
          <w:kern w:val="0"/>
          <w:lang w:eastAsia="en-GB"/>
          <w14:ligatures w14:val="none"/>
        </w:rPr>
      </w:pPr>
      <w:r>
        <w:t xml:space="preserve">The IEYF sits alongside the existing SEND funding streams, such as SENIF, HLN and DAF for specific children in their care. All providers </w:t>
      </w:r>
      <w:r w:rsidRPr="0049651A">
        <w:rPr>
          <w:rFonts w:eastAsia="Times New Roman" w:cs="Arial"/>
          <w:color w:val="0B0C0C"/>
          <w:kern w:val="0"/>
          <w:lang w:eastAsia="en-GB"/>
          <w14:ligatures w14:val="none"/>
        </w:rPr>
        <w:t>delivering the government’s free early years entitlements are eligible to apply for</w:t>
      </w:r>
      <w:r>
        <w:rPr>
          <w:rFonts w:eastAsia="Times New Roman" w:cs="Arial"/>
          <w:color w:val="0B0C0C"/>
          <w:kern w:val="0"/>
          <w:lang w:eastAsia="en-GB"/>
          <w14:ligatures w14:val="none"/>
        </w:rPr>
        <w:t xml:space="preserve"> these funding streams and can also benefit from other support and training opportunities.  Further information can be found on the </w:t>
      </w:r>
      <w:hyperlink r:id="rId7" w:history="1">
        <w:r w:rsidRPr="0049651A">
          <w:rPr>
            <w:rStyle w:val="Hyperlink"/>
            <w:rFonts w:eastAsia="Times New Roman" w:cs="Arial"/>
            <w:kern w:val="0"/>
            <w:lang w:eastAsia="en-GB"/>
            <w14:ligatures w14:val="none"/>
          </w:rPr>
          <w:t>Equality and Inclusion Section</w:t>
        </w:r>
      </w:hyperlink>
      <w:r w:rsidRPr="0049651A">
        <w:rPr>
          <w:rFonts w:eastAsia="Times New Roman" w:cs="Arial"/>
          <w:color w:val="0B0C0C"/>
          <w:kern w:val="0"/>
          <w:lang w:eastAsia="en-GB"/>
          <w14:ligatures w14:val="none"/>
        </w:rPr>
        <w:t xml:space="preserve"> </w:t>
      </w:r>
      <w:r>
        <w:rPr>
          <w:rFonts w:eastAsia="Times New Roman" w:cs="Arial"/>
          <w:color w:val="0B0C0C"/>
          <w:kern w:val="0"/>
          <w:lang w:eastAsia="en-GB"/>
          <w14:ligatures w14:val="none"/>
        </w:rPr>
        <w:t xml:space="preserve">and the </w:t>
      </w:r>
      <w:hyperlink r:id="rId8" w:history="1">
        <w:r w:rsidRPr="003744B4">
          <w:rPr>
            <w:rStyle w:val="Hyperlink"/>
            <w:rFonts w:eastAsia="Times New Roman" w:cs="Arial"/>
            <w:kern w:val="0"/>
            <w:lang w:eastAsia="en-GB"/>
            <w14:ligatures w14:val="none"/>
          </w:rPr>
          <w:t>CPD Training Pages</w:t>
        </w:r>
      </w:hyperlink>
      <w:r>
        <w:rPr>
          <w:rFonts w:eastAsia="Times New Roman" w:cs="Arial"/>
          <w:color w:val="0B0C0C"/>
          <w:kern w:val="0"/>
          <w:lang w:eastAsia="en-GB"/>
          <w14:ligatures w14:val="none"/>
        </w:rPr>
        <w:t xml:space="preserve"> o</w:t>
      </w:r>
      <w:r w:rsidRPr="0049651A">
        <w:rPr>
          <w:rFonts w:eastAsia="Times New Roman" w:cs="Arial"/>
          <w:color w:val="0B0C0C"/>
          <w:kern w:val="0"/>
          <w:lang w:eastAsia="en-GB"/>
          <w14:ligatures w14:val="none"/>
        </w:rPr>
        <w:t>f the Early Years Website.</w:t>
      </w:r>
    </w:p>
    <w:p w14:paraId="48C96F8C" w14:textId="77777777" w:rsidR="00F56C8A" w:rsidRPr="00371577" w:rsidRDefault="00F56C8A" w:rsidP="00371577">
      <w:pPr>
        <w:spacing w:after="0" w:line="240" w:lineRule="auto"/>
        <w:jc w:val="both"/>
      </w:pPr>
    </w:p>
    <w:p w14:paraId="35BDAF3D" w14:textId="77777777" w:rsidR="002D4038" w:rsidRPr="00371577" w:rsidRDefault="002D4038" w:rsidP="002D4038">
      <w:pPr>
        <w:shd w:val="clear" w:color="auto" w:fill="FFFFFF"/>
        <w:spacing w:after="0" w:line="240" w:lineRule="auto"/>
        <w:jc w:val="center"/>
        <w:rPr>
          <w:b/>
          <w:bCs/>
        </w:rPr>
      </w:pPr>
      <w:r w:rsidRPr="00371577">
        <w:rPr>
          <w:rFonts w:eastAsia="Times New Roman" w:cs="Arial"/>
          <w:b/>
          <w:bCs/>
          <w:color w:val="0B0C0C"/>
          <w:kern w:val="0"/>
          <w:lang w:eastAsia="en-GB"/>
          <w14:ligatures w14:val="none"/>
        </w:rPr>
        <w:t xml:space="preserve">For further details on DfE local authority level methodology, calculations and full guidance on the IEYF, please refer to the </w:t>
      </w:r>
      <w:hyperlink r:id="rId9" w:history="1">
        <w:r w:rsidRPr="00371577">
          <w:rPr>
            <w:b/>
            <w:bCs/>
            <w:color w:val="0000FF"/>
            <w:u w:val="single"/>
          </w:rPr>
          <w:t>Inclusive early years fund: 2026 to 2027 - GOV.UK</w:t>
        </w:r>
      </w:hyperlink>
    </w:p>
    <w:p w14:paraId="3D0DE520" w14:textId="360E4C16" w:rsidR="00F5251E" w:rsidRDefault="00F5251E" w:rsidP="00F5251E">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1693CEAD" w14:textId="77777777" w:rsidR="00F5251E" w:rsidRPr="00F5251E" w:rsidRDefault="00F5251E" w:rsidP="00F5251E">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1E367F66" w14:textId="77777777" w:rsidR="00F5251E" w:rsidRDefault="00F5251E"/>
    <w:sectPr w:rsidR="00F5251E" w:rsidSect="002D403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14C2"/>
    <w:multiLevelType w:val="multilevel"/>
    <w:tmpl w:val="3A4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4202C"/>
    <w:multiLevelType w:val="multilevel"/>
    <w:tmpl w:val="BF1C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B4AF7"/>
    <w:multiLevelType w:val="hybridMultilevel"/>
    <w:tmpl w:val="4160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C57D7"/>
    <w:multiLevelType w:val="hybridMultilevel"/>
    <w:tmpl w:val="230854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61157"/>
    <w:multiLevelType w:val="hybridMultilevel"/>
    <w:tmpl w:val="B31841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E1E6B"/>
    <w:multiLevelType w:val="multilevel"/>
    <w:tmpl w:val="326A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C5688B"/>
    <w:multiLevelType w:val="multilevel"/>
    <w:tmpl w:val="D63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56864"/>
    <w:multiLevelType w:val="multilevel"/>
    <w:tmpl w:val="2922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F5313"/>
    <w:multiLevelType w:val="hybridMultilevel"/>
    <w:tmpl w:val="A8D2011A"/>
    <w:lvl w:ilvl="0" w:tplc="BCFA4FA0">
      <w:start w:val="1"/>
      <w:numFmt w:val="bullet"/>
      <w:lvlText w:val="•"/>
      <w:lvlJc w:val="left"/>
      <w:pPr>
        <w:tabs>
          <w:tab w:val="num" w:pos="720"/>
        </w:tabs>
        <w:ind w:left="720" w:hanging="360"/>
      </w:pPr>
      <w:rPr>
        <w:rFonts w:ascii="Arial" w:hAnsi="Arial" w:cs="Times New Roman" w:hint="default"/>
      </w:rPr>
    </w:lvl>
    <w:lvl w:ilvl="1" w:tplc="335A4DAE">
      <w:start w:val="1"/>
      <w:numFmt w:val="bullet"/>
      <w:lvlText w:val="•"/>
      <w:lvlJc w:val="left"/>
      <w:pPr>
        <w:tabs>
          <w:tab w:val="num" w:pos="1440"/>
        </w:tabs>
        <w:ind w:left="1440" w:hanging="360"/>
      </w:pPr>
      <w:rPr>
        <w:rFonts w:ascii="Arial" w:hAnsi="Arial" w:cs="Times New Roman" w:hint="default"/>
      </w:rPr>
    </w:lvl>
    <w:lvl w:ilvl="2" w:tplc="5DBEC1F8">
      <w:start w:val="1"/>
      <w:numFmt w:val="bullet"/>
      <w:lvlText w:val="•"/>
      <w:lvlJc w:val="left"/>
      <w:pPr>
        <w:tabs>
          <w:tab w:val="num" w:pos="2160"/>
        </w:tabs>
        <w:ind w:left="2160" w:hanging="360"/>
      </w:pPr>
      <w:rPr>
        <w:rFonts w:ascii="Arial" w:hAnsi="Arial" w:cs="Times New Roman" w:hint="default"/>
      </w:rPr>
    </w:lvl>
    <w:lvl w:ilvl="3" w:tplc="0212E6FC">
      <w:start w:val="1"/>
      <w:numFmt w:val="bullet"/>
      <w:lvlText w:val="•"/>
      <w:lvlJc w:val="left"/>
      <w:pPr>
        <w:tabs>
          <w:tab w:val="num" w:pos="2880"/>
        </w:tabs>
        <w:ind w:left="2880" w:hanging="360"/>
      </w:pPr>
      <w:rPr>
        <w:rFonts w:ascii="Arial" w:hAnsi="Arial" w:cs="Times New Roman" w:hint="default"/>
      </w:rPr>
    </w:lvl>
    <w:lvl w:ilvl="4" w:tplc="155830C0">
      <w:start w:val="1"/>
      <w:numFmt w:val="bullet"/>
      <w:lvlText w:val="•"/>
      <w:lvlJc w:val="left"/>
      <w:pPr>
        <w:tabs>
          <w:tab w:val="num" w:pos="3600"/>
        </w:tabs>
        <w:ind w:left="3600" w:hanging="360"/>
      </w:pPr>
      <w:rPr>
        <w:rFonts w:ascii="Arial" w:hAnsi="Arial" w:cs="Times New Roman" w:hint="default"/>
      </w:rPr>
    </w:lvl>
    <w:lvl w:ilvl="5" w:tplc="9962C004">
      <w:start w:val="1"/>
      <w:numFmt w:val="bullet"/>
      <w:lvlText w:val="•"/>
      <w:lvlJc w:val="left"/>
      <w:pPr>
        <w:tabs>
          <w:tab w:val="num" w:pos="4320"/>
        </w:tabs>
        <w:ind w:left="4320" w:hanging="360"/>
      </w:pPr>
      <w:rPr>
        <w:rFonts w:ascii="Arial" w:hAnsi="Arial" w:cs="Times New Roman" w:hint="default"/>
      </w:rPr>
    </w:lvl>
    <w:lvl w:ilvl="6" w:tplc="E23EE534">
      <w:start w:val="1"/>
      <w:numFmt w:val="bullet"/>
      <w:lvlText w:val="•"/>
      <w:lvlJc w:val="left"/>
      <w:pPr>
        <w:tabs>
          <w:tab w:val="num" w:pos="5040"/>
        </w:tabs>
        <w:ind w:left="5040" w:hanging="360"/>
      </w:pPr>
      <w:rPr>
        <w:rFonts w:ascii="Arial" w:hAnsi="Arial" w:cs="Times New Roman" w:hint="default"/>
      </w:rPr>
    </w:lvl>
    <w:lvl w:ilvl="7" w:tplc="C1E27FD4">
      <w:start w:val="1"/>
      <w:numFmt w:val="bullet"/>
      <w:lvlText w:val="•"/>
      <w:lvlJc w:val="left"/>
      <w:pPr>
        <w:tabs>
          <w:tab w:val="num" w:pos="5760"/>
        </w:tabs>
        <w:ind w:left="5760" w:hanging="360"/>
      </w:pPr>
      <w:rPr>
        <w:rFonts w:ascii="Arial" w:hAnsi="Arial" w:cs="Times New Roman" w:hint="default"/>
      </w:rPr>
    </w:lvl>
    <w:lvl w:ilvl="8" w:tplc="67F8F43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43A01007"/>
    <w:multiLevelType w:val="multilevel"/>
    <w:tmpl w:val="43CA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B2901"/>
    <w:multiLevelType w:val="multilevel"/>
    <w:tmpl w:val="90B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341F7"/>
    <w:multiLevelType w:val="multilevel"/>
    <w:tmpl w:val="E656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994D3A"/>
    <w:multiLevelType w:val="multilevel"/>
    <w:tmpl w:val="D8A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340C2A"/>
    <w:multiLevelType w:val="multilevel"/>
    <w:tmpl w:val="C98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70AEA"/>
    <w:multiLevelType w:val="multilevel"/>
    <w:tmpl w:val="B3A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C14A8F"/>
    <w:multiLevelType w:val="hybridMultilevel"/>
    <w:tmpl w:val="0B74C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9891521">
    <w:abstractNumId w:val="1"/>
  </w:num>
  <w:num w:numId="2" w16cid:durableId="999969764">
    <w:abstractNumId w:val="10"/>
  </w:num>
  <w:num w:numId="3" w16cid:durableId="1322470419">
    <w:abstractNumId w:val="0"/>
  </w:num>
  <w:num w:numId="4" w16cid:durableId="1620798724">
    <w:abstractNumId w:val="12"/>
  </w:num>
  <w:num w:numId="5" w16cid:durableId="743140523">
    <w:abstractNumId w:val="13"/>
  </w:num>
  <w:num w:numId="6" w16cid:durableId="1861433022">
    <w:abstractNumId w:val="5"/>
  </w:num>
  <w:num w:numId="7" w16cid:durableId="1539006284">
    <w:abstractNumId w:val="9"/>
  </w:num>
  <w:num w:numId="8" w16cid:durableId="1728675423">
    <w:abstractNumId w:val="6"/>
  </w:num>
  <w:num w:numId="9" w16cid:durableId="1639610719">
    <w:abstractNumId w:val="11"/>
  </w:num>
  <w:num w:numId="10" w16cid:durableId="1765421147">
    <w:abstractNumId w:val="14"/>
  </w:num>
  <w:num w:numId="11" w16cid:durableId="551578985">
    <w:abstractNumId w:val="7"/>
  </w:num>
  <w:num w:numId="12" w16cid:durableId="2107572285">
    <w:abstractNumId w:val="8"/>
  </w:num>
  <w:num w:numId="13" w16cid:durableId="39866380">
    <w:abstractNumId w:val="3"/>
  </w:num>
  <w:num w:numId="14" w16cid:durableId="563641403">
    <w:abstractNumId w:val="4"/>
  </w:num>
  <w:num w:numId="15" w16cid:durableId="1069351761">
    <w:abstractNumId w:val="15"/>
  </w:num>
  <w:num w:numId="16" w16cid:durableId="72433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1E"/>
    <w:rsid w:val="00092842"/>
    <w:rsid w:val="002D4038"/>
    <w:rsid w:val="00371577"/>
    <w:rsid w:val="003744B4"/>
    <w:rsid w:val="00390F93"/>
    <w:rsid w:val="0049651A"/>
    <w:rsid w:val="004E3474"/>
    <w:rsid w:val="006D5650"/>
    <w:rsid w:val="009F2DC1"/>
    <w:rsid w:val="00BA3A53"/>
    <w:rsid w:val="00C229F4"/>
    <w:rsid w:val="00C81343"/>
    <w:rsid w:val="00C83770"/>
    <w:rsid w:val="00D41A43"/>
    <w:rsid w:val="00E270E9"/>
    <w:rsid w:val="00EA4EDD"/>
    <w:rsid w:val="00F5251E"/>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E96A"/>
  <w15:chartTrackingRefBased/>
  <w15:docId w15:val="{7AB4C2B7-F02D-4703-9F35-71F0AF40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1E"/>
    <w:rPr>
      <w:rFonts w:eastAsiaTheme="majorEastAsia" w:cstheme="majorBidi"/>
      <w:color w:val="272727" w:themeColor="text1" w:themeTint="D8"/>
    </w:rPr>
  </w:style>
  <w:style w:type="paragraph" w:styleId="Title">
    <w:name w:val="Title"/>
    <w:basedOn w:val="Normal"/>
    <w:next w:val="Normal"/>
    <w:link w:val="TitleChar"/>
    <w:uiPriority w:val="10"/>
    <w:qFormat/>
    <w:rsid w:val="00F5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1E"/>
    <w:pPr>
      <w:spacing w:before="160"/>
      <w:jc w:val="center"/>
    </w:pPr>
    <w:rPr>
      <w:i/>
      <w:iCs/>
      <w:color w:val="404040" w:themeColor="text1" w:themeTint="BF"/>
    </w:rPr>
  </w:style>
  <w:style w:type="character" w:customStyle="1" w:styleId="QuoteChar">
    <w:name w:val="Quote Char"/>
    <w:basedOn w:val="DefaultParagraphFont"/>
    <w:link w:val="Quote"/>
    <w:uiPriority w:val="29"/>
    <w:rsid w:val="00F5251E"/>
    <w:rPr>
      <w:i/>
      <w:iCs/>
      <w:color w:val="404040" w:themeColor="text1" w:themeTint="BF"/>
    </w:rPr>
  </w:style>
  <w:style w:type="paragraph" w:styleId="ListParagraph">
    <w:name w:val="List Paragraph"/>
    <w:basedOn w:val="Normal"/>
    <w:uiPriority w:val="34"/>
    <w:qFormat/>
    <w:rsid w:val="00F5251E"/>
    <w:pPr>
      <w:ind w:left="720"/>
      <w:contextualSpacing/>
    </w:pPr>
  </w:style>
  <w:style w:type="character" w:styleId="IntenseEmphasis">
    <w:name w:val="Intense Emphasis"/>
    <w:basedOn w:val="DefaultParagraphFont"/>
    <w:uiPriority w:val="21"/>
    <w:qFormat/>
    <w:rsid w:val="00F5251E"/>
    <w:rPr>
      <w:i/>
      <w:iCs/>
      <w:color w:val="0F4761" w:themeColor="accent1" w:themeShade="BF"/>
    </w:rPr>
  </w:style>
  <w:style w:type="paragraph" w:styleId="IntenseQuote">
    <w:name w:val="Intense Quote"/>
    <w:basedOn w:val="Normal"/>
    <w:next w:val="Normal"/>
    <w:link w:val="IntenseQuoteChar"/>
    <w:uiPriority w:val="30"/>
    <w:qFormat/>
    <w:rsid w:val="00F5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1E"/>
    <w:rPr>
      <w:i/>
      <w:iCs/>
      <w:color w:val="0F4761" w:themeColor="accent1" w:themeShade="BF"/>
    </w:rPr>
  </w:style>
  <w:style w:type="character" w:styleId="IntenseReference">
    <w:name w:val="Intense Reference"/>
    <w:basedOn w:val="DefaultParagraphFont"/>
    <w:uiPriority w:val="32"/>
    <w:qFormat/>
    <w:rsid w:val="00F5251E"/>
    <w:rPr>
      <w:b/>
      <w:bCs/>
      <w:smallCaps/>
      <w:color w:val="0F4761" w:themeColor="accent1" w:themeShade="BF"/>
      <w:spacing w:val="5"/>
    </w:rPr>
  </w:style>
  <w:style w:type="character" w:styleId="Hyperlink">
    <w:name w:val="Hyperlink"/>
    <w:basedOn w:val="DefaultParagraphFont"/>
    <w:uiPriority w:val="99"/>
    <w:unhideWhenUsed/>
    <w:rsid w:val="00F5251E"/>
    <w:rPr>
      <w:color w:val="467886" w:themeColor="hyperlink"/>
      <w:u w:val="single"/>
    </w:rPr>
  </w:style>
  <w:style w:type="character" w:styleId="UnresolvedMention">
    <w:name w:val="Unresolved Mention"/>
    <w:basedOn w:val="DefaultParagraphFont"/>
    <w:uiPriority w:val="99"/>
    <w:semiHidden/>
    <w:unhideWhenUsed/>
    <w:rsid w:val="00371577"/>
    <w:rPr>
      <w:color w:val="605E5C"/>
      <w:shd w:val="clear" w:color="auto" w:fill="E1DFDD"/>
    </w:rPr>
  </w:style>
  <w:style w:type="character" w:styleId="FollowedHyperlink">
    <w:name w:val="FollowedHyperlink"/>
    <w:basedOn w:val="DefaultParagraphFont"/>
    <w:uiPriority w:val="99"/>
    <w:semiHidden/>
    <w:unhideWhenUsed/>
    <w:rsid w:val="00C229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arlyyears/cpd-training/cpd-opportunities/" TargetMode="External"/><Relationship Id="rId3" Type="http://schemas.openxmlformats.org/officeDocument/2006/relationships/settings" Target="settings.xml"/><Relationship Id="rId7" Type="http://schemas.openxmlformats.org/officeDocument/2006/relationships/hyperlink" Target="https://www.nottinghamcity.gov.uk/earlyyears/section-pages/equality-and-inclusion/early-years-send-fund-disability-access-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inclusive-early-years-fund-2026-to-2027/inclusive-early-years-fund-for-2026-to-2027-conditions-of-grant-and-operational-guidance-for-local-authorities" TargetMode="External"/><Relationship Id="rId11" Type="http://schemas.openxmlformats.org/officeDocument/2006/relationships/theme" Target="theme/theme1.xml"/><Relationship Id="rId5" Type="http://schemas.openxmlformats.org/officeDocument/2006/relationships/hyperlink" Target="https://www.gov.uk/government/publications/inclusive-mainstream-fund-2026-to-20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inclusive-early-years-fund-2026-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Crossley</dc:creator>
  <cp:keywords/>
  <dc:description/>
  <cp:lastModifiedBy>Katherine Crossley</cp:lastModifiedBy>
  <cp:revision>5</cp:revision>
  <dcterms:created xsi:type="dcterms:W3CDTF">2026-06-24T10:56:00Z</dcterms:created>
  <dcterms:modified xsi:type="dcterms:W3CDTF">2026-06-24T13:06:00Z</dcterms:modified>
</cp:coreProperties>
</file>