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A339" w14:textId="77777777" w:rsidR="003D3187" w:rsidRDefault="00000000">
      <w:pPr>
        <w:spacing w:after="0" w:line="259" w:lineRule="auto"/>
        <w:ind w:left="0" w:firstLine="0"/>
        <w:jc w:val="right"/>
      </w:pPr>
      <w:r>
        <w:rPr>
          <w:noProof/>
        </w:rPr>
        <w:drawing>
          <wp:inline distT="0" distB="0" distL="0" distR="0" wp14:anchorId="16AF82B4" wp14:editId="6635DF5F">
            <wp:extent cx="2095500" cy="6953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095500" cy="695325"/>
                    </a:xfrm>
                    <a:prstGeom prst="rect">
                      <a:avLst/>
                    </a:prstGeom>
                  </pic:spPr>
                </pic:pic>
              </a:graphicData>
            </a:graphic>
          </wp:inline>
        </w:drawing>
      </w:r>
      <w:r>
        <w:t xml:space="preserve"> </w:t>
      </w:r>
    </w:p>
    <w:p w14:paraId="1C8AAB82" w14:textId="77777777" w:rsidR="003D3187" w:rsidRDefault="00000000">
      <w:pPr>
        <w:pStyle w:val="Heading1"/>
        <w:ind w:right="533"/>
      </w:pPr>
      <w:r>
        <w:t xml:space="preserve">Executive Board – 21 October 2025 </w:t>
      </w:r>
    </w:p>
    <w:p w14:paraId="0EE25FFD" w14:textId="77777777" w:rsidR="003D3187" w:rsidRDefault="00000000">
      <w:pPr>
        <w:spacing w:after="0" w:line="259" w:lineRule="auto"/>
        <w:ind w:left="2118" w:firstLine="0"/>
      </w:pPr>
      <w:r>
        <w:rPr>
          <w:b/>
        </w:rPr>
        <w:t xml:space="preserve">                    </w:t>
      </w:r>
      <w:r>
        <w:rPr>
          <w:b/>
        </w:rPr>
        <w:tab/>
        <w:t xml:space="preserve"> </w:t>
      </w:r>
    </w:p>
    <w:tbl>
      <w:tblPr>
        <w:tblStyle w:val="TableGrid"/>
        <w:tblW w:w="10268" w:type="dxa"/>
        <w:tblInd w:w="-108" w:type="dxa"/>
        <w:tblCellMar>
          <w:top w:w="55" w:type="dxa"/>
          <w:left w:w="108" w:type="dxa"/>
          <w:bottom w:w="0" w:type="dxa"/>
          <w:right w:w="48" w:type="dxa"/>
        </w:tblCellMar>
        <w:tblLook w:val="04A0" w:firstRow="1" w:lastRow="0" w:firstColumn="1" w:lastColumn="0" w:noHBand="0" w:noVBand="1"/>
      </w:tblPr>
      <w:tblGrid>
        <w:gridCol w:w="2955"/>
        <w:gridCol w:w="7313"/>
      </w:tblGrid>
      <w:tr w:rsidR="003D3187" w14:paraId="162670B0" w14:textId="77777777">
        <w:trPr>
          <w:trHeight w:val="562"/>
        </w:trPr>
        <w:tc>
          <w:tcPr>
            <w:tcW w:w="2955" w:type="dxa"/>
            <w:tcBorders>
              <w:top w:val="single" w:sz="4" w:space="0" w:color="000000"/>
              <w:left w:val="single" w:sz="4" w:space="0" w:color="000000"/>
              <w:bottom w:val="single" w:sz="4" w:space="0" w:color="000000"/>
              <w:right w:val="single" w:sz="4" w:space="0" w:color="000000"/>
            </w:tcBorders>
          </w:tcPr>
          <w:p w14:paraId="1D892482" w14:textId="77777777" w:rsidR="003D3187" w:rsidRDefault="00000000">
            <w:pPr>
              <w:spacing w:after="0" w:line="259" w:lineRule="auto"/>
              <w:ind w:left="0" w:firstLine="0"/>
            </w:pPr>
            <w:r>
              <w:rPr>
                <w:b/>
              </w:rPr>
              <w:t xml:space="preserve">Subject: </w:t>
            </w:r>
          </w:p>
        </w:tc>
        <w:tc>
          <w:tcPr>
            <w:tcW w:w="7313" w:type="dxa"/>
            <w:tcBorders>
              <w:top w:val="single" w:sz="4" w:space="0" w:color="000000"/>
              <w:left w:val="single" w:sz="4" w:space="0" w:color="000000"/>
              <w:bottom w:val="single" w:sz="4" w:space="0" w:color="000000"/>
              <w:right w:val="single" w:sz="4" w:space="0" w:color="000000"/>
            </w:tcBorders>
          </w:tcPr>
          <w:p w14:paraId="314A6086" w14:textId="77777777" w:rsidR="003D3187" w:rsidRDefault="00000000">
            <w:pPr>
              <w:spacing w:after="0" w:line="259" w:lineRule="auto"/>
              <w:ind w:left="0" w:firstLine="0"/>
            </w:pPr>
            <w:r>
              <w:t xml:space="preserve">Draft Budget and Medium-Term Financial Plan 2026/27 </w:t>
            </w:r>
          </w:p>
          <w:p w14:paraId="0D65D198" w14:textId="77777777" w:rsidR="003D3187" w:rsidRDefault="00000000">
            <w:pPr>
              <w:spacing w:after="0" w:line="259" w:lineRule="auto"/>
              <w:ind w:left="0" w:firstLine="0"/>
            </w:pPr>
            <w:r>
              <w:t xml:space="preserve"> </w:t>
            </w:r>
          </w:p>
        </w:tc>
      </w:tr>
      <w:tr w:rsidR="003D3187" w14:paraId="2FFC0991" w14:textId="77777777">
        <w:trPr>
          <w:trHeight w:val="562"/>
        </w:trPr>
        <w:tc>
          <w:tcPr>
            <w:tcW w:w="2955" w:type="dxa"/>
            <w:tcBorders>
              <w:top w:val="single" w:sz="4" w:space="0" w:color="000000"/>
              <w:left w:val="single" w:sz="4" w:space="0" w:color="000000"/>
              <w:bottom w:val="single" w:sz="4" w:space="0" w:color="000000"/>
              <w:right w:val="single" w:sz="4" w:space="0" w:color="000000"/>
            </w:tcBorders>
          </w:tcPr>
          <w:p w14:paraId="5BBDD9D1" w14:textId="77777777" w:rsidR="003D3187" w:rsidRDefault="00000000">
            <w:pPr>
              <w:spacing w:after="0" w:line="259" w:lineRule="auto"/>
              <w:ind w:left="0" w:firstLine="0"/>
            </w:pPr>
            <w:r>
              <w:rPr>
                <w:b/>
              </w:rPr>
              <w:t xml:space="preserve">Executive Member(s): </w:t>
            </w:r>
          </w:p>
          <w:p w14:paraId="1D5A0483" w14:textId="77777777" w:rsidR="003D3187" w:rsidRDefault="00000000">
            <w:pPr>
              <w:spacing w:after="0" w:line="259" w:lineRule="auto"/>
              <w:ind w:left="0" w:firstLine="0"/>
            </w:pPr>
            <w:r>
              <w:rPr>
                <w:b/>
              </w:rPr>
              <w:t xml:space="preserve"> </w:t>
            </w:r>
          </w:p>
        </w:tc>
        <w:tc>
          <w:tcPr>
            <w:tcW w:w="7313" w:type="dxa"/>
            <w:tcBorders>
              <w:top w:val="single" w:sz="4" w:space="0" w:color="000000"/>
              <w:left w:val="single" w:sz="4" w:space="0" w:color="000000"/>
              <w:bottom w:val="single" w:sz="4" w:space="0" w:color="000000"/>
              <w:right w:val="single" w:sz="4" w:space="0" w:color="000000"/>
            </w:tcBorders>
          </w:tcPr>
          <w:p w14:paraId="216BEA69" w14:textId="77777777" w:rsidR="003D3187" w:rsidRDefault="00000000">
            <w:pPr>
              <w:spacing w:after="0" w:line="259" w:lineRule="auto"/>
              <w:ind w:left="0" w:firstLine="0"/>
            </w:pPr>
            <w:r>
              <w:t xml:space="preserve">Cllr Ethan Radford, Exec Member for Finance &amp; Resources </w:t>
            </w:r>
          </w:p>
          <w:p w14:paraId="440C894C" w14:textId="77777777" w:rsidR="003D3187" w:rsidRDefault="00000000">
            <w:pPr>
              <w:spacing w:after="0" w:line="259" w:lineRule="auto"/>
              <w:ind w:left="0" w:firstLine="0"/>
            </w:pPr>
            <w:r>
              <w:rPr>
                <w:b/>
              </w:rPr>
              <w:t xml:space="preserve"> </w:t>
            </w:r>
          </w:p>
        </w:tc>
      </w:tr>
      <w:tr w:rsidR="003D3187" w14:paraId="779E7FA3" w14:textId="77777777">
        <w:trPr>
          <w:trHeight w:val="562"/>
        </w:trPr>
        <w:tc>
          <w:tcPr>
            <w:tcW w:w="2955" w:type="dxa"/>
            <w:tcBorders>
              <w:top w:val="single" w:sz="4" w:space="0" w:color="000000"/>
              <w:left w:val="single" w:sz="4" w:space="0" w:color="000000"/>
              <w:bottom w:val="single" w:sz="4" w:space="0" w:color="000000"/>
              <w:right w:val="single" w:sz="4" w:space="0" w:color="000000"/>
            </w:tcBorders>
          </w:tcPr>
          <w:p w14:paraId="7307DB29" w14:textId="77777777" w:rsidR="003D3187" w:rsidRDefault="00000000">
            <w:pPr>
              <w:spacing w:after="0" w:line="259" w:lineRule="auto"/>
              <w:ind w:left="0" w:firstLine="0"/>
            </w:pPr>
            <w:r>
              <w:rPr>
                <w:b/>
              </w:rPr>
              <w:t xml:space="preserve">Corporate </w:t>
            </w:r>
          </w:p>
          <w:p w14:paraId="0F6FABC8" w14:textId="77777777" w:rsidR="003D3187" w:rsidRDefault="00000000">
            <w:pPr>
              <w:spacing w:after="0" w:line="259" w:lineRule="auto"/>
              <w:ind w:left="0" w:firstLine="0"/>
            </w:pPr>
            <w:r>
              <w:rPr>
                <w:b/>
              </w:rPr>
              <w:t xml:space="preserve">Director(s)/Director(s): </w:t>
            </w:r>
          </w:p>
        </w:tc>
        <w:tc>
          <w:tcPr>
            <w:tcW w:w="7313" w:type="dxa"/>
            <w:tcBorders>
              <w:top w:val="single" w:sz="4" w:space="0" w:color="000000"/>
              <w:left w:val="single" w:sz="4" w:space="0" w:color="000000"/>
              <w:bottom w:val="single" w:sz="4" w:space="0" w:color="000000"/>
              <w:right w:val="single" w:sz="4" w:space="0" w:color="000000"/>
            </w:tcBorders>
          </w:tcPr>
          <w:p w14:paraId="4A1DE31C" w14:textId="77777777" w:rsidR="003D3187" w:rsidRDefault="00000000">
            <w:pPr>
              <w:spacing w:after="0" w:line="259" w:lineRule="auto"/>
              <w:ind w:left="0" w:firstLine="0"/>
            </w:pPr>
            <w:r>
              <w:t xml:space="preserve">Stuart Fair, Corporate Director for Finance &amp; Resources, Section 151 Officer </w:t>
            </w:r>
          </w:p>
        </w:tc>
      </w:tr>
      <w:tr w:rsidR="003D3187" w14:paraId="57513333" w14:textId="77777777">
        <w:trPr>
          <w:trHeight w:val="6909"/>
        </w:trPr>
        <w:tc>
          <w:tcPr>
            <w:tcW w:w="10268" w:type="dxa"/>
            <w:gridSpan w:val="2"/>
            <w:tcBorders>
              <w:top w:val="single" w:sz="4" w:space="0" w:color="000000"/>
              <w:left w:val="single" w:sz="4" w:space="0" w:color="000000"/>
              <w:bottom w:val="single" w:sz="4" w:space="0" w:color="000000"/>
              <w:right w:val="single" w:sz="4" w:space="0" w:color="000000"/>
            </w:tcBorders>
          </w:tcPr>
          <w:p w14:paraId="16938196" w14:textId="77777777" w:rsidR="003D3187" w:rsidRDefault="00000000">
            <w:pPr>
              <w:spacing w:after="0" w:line="259" w:lineRule="auto"/>
              <w:ind w:left="0" w:firstLine="0"/>
            </w:pPr>
            <w:r>
              <w:rPr>
                <w:b/>
              </w:rPr>
              <w:t xml:space="preserve">Summary of issues:  </w:t>
            </w:r>
          </w:p>
          <w:p w14:paraId="33DF043A" w14:textId="77777777" w:rsidR="003D3187" w:rsidRDefault="00000000">
            <w:pPr>
              <w:spacing w:after="0" w:line="259" w:lineRule="auto"/>
              <w:ind w:left="0" w:firstLine="0"/>
            </w:pPr>
            <w:r>
              <w:rPr>
                <w:b/>
              </w:rPr>
              <w:t xml:space="preserve"> </w:t>
            </w:r>
          </w:p>
          <w:p w14:paraId="0DB1E969" w14:textId="77777777" w:rsidR="003D3187" w:rsidRDefault="00000000">
            <w:pPr>
              <w:spacing w:after="0" w:line="244" w:lineRule="auto"/>
              <w:ind w:left="0" w:firstLine="0"/>
            </w:pPr>
            <w:r>
              <w:t>This is the draft Budget and Medium-Term Financial Plan for 2026/27.  It is being presented to be released for consultation from 21</w:t>
            </w:r>
            <w:r>
              <w:rPr>
                <w:vertAlign w:val="superscript"/>
              </w:rPr>
              <w:t>st</w:t>
            </w:r>
            <w:r>
              <w:t xml:space="preserve"> October 2025 to 2</w:t>
            </w:r>
            <w:r>
              <w:rPr>
                <w:vertAlign w:val="superscript"/>
              </w:rPr>
              <w:t>nd</w:t>
            </w:r>
            <w:r>
              <w:t xml:space="preserve"> December 2025. The final report will go to full Council on 25th February 2025 and final figures will not be known till we have the December local government financial settlement and the September CPI numbers.  As such, it is subject to change. </w:t>
            </w:r>
          </w:p>
          <w:p w14:paraId="7D54076E" w14:textId="77777777" w:rsidR="003D3187" w:rsidRDefault="00000000">
            <w:pPr>
              <w:spacing w:after="0" w:line="259" w:lineRule="auto"/>
              <w:ind w:left="0" w:firstLine="0"/>
            </w:pPr>
            <w:r>
              <w:t xml:space="preserve"> </w:t>
            </w:r>
          </w:p>
          <w:p w14:paraId="1BAE0033" w14:textId="77777777" w:rsidR="003D3187" w:rsidRDefault="00000000">
            <w:pPr>
              <w:spacing w:after="0" w:line="240" w:lineRule="auto"/>
              <w:ind w:left="0" w:firstLine="0"/>
            </w:pPr>
            <w:r>
              <w:t xml:space="preserve">As currently constituted, the 2026/27 Budget formulation and associated MTFP position illustrates a positive pathway towards a fully balanced budget being achieved and prepares a foundation for stability over the course of the MTFP with opportunity to take out any future structural deficit and allow, where possible additional investment opportunities and will improve service delivery outcomes. </w:t>
            </w:r>
          </w:p>
          <w:p w14:paraId="7D4A541A" w14:textId="77777777" w:rsidR="003D3187" w:rsidRDefault="00000000">
            <w:pPr>
              <w:spacing w:after="0" w:line="259" w:lineRule="auto"/>
              <w:ind w:left="0" w:firstLine="0"/>
            </w:pPr>
            <w:r>
              <w:t xml:space="preserve"> </w:t>
            </w:r>
          </w:p>
          <w:p w14:paraId="278976C3" w14:textId="77777777" w:rsidR="003D3187" w:rsidRDefault="00000000">
            <w:pPr>
              <w:spacing w:after="0" w:line="240" w:lineRule="auto"/>
              <w:ind w:left="0" w:firstLine="0"/>
            </w:pPr>
            <w:r>
              <w:t xml:space="preserve">As with any financial strategy exercise, there is an appreciation of risks and contingency required for unknown events. The Budget formulation process is underpinned with robust assumptions and requires an appreciation of the ability to absorb a wide range of possible outcomes that will affect the actual financial performance of the Council. This latest position represents a detailed approach to the incorporation of the most reliable and up-to-date information and assumptions. </w:t>
            </w:r>
          </w:p>
          <w:p w14:paraId="5F9DE07E" w14:textId="77777777" w:rsidR="003D3187" w:rsidRDefault="00000000">
            <w:pPr>
              <w:spacing w:after="0" w:line="259" w:lineRule="auto"/>
              <w:ind w:left="0" w:firstLine="0"/>
            </w:pPr>
            <w:r>
              <w:t xml:space="preserve"> </w:t>
            </w:r>
          </w:p>
          <w:p w14:paraId="46BA30D1" w14:textId="77777777" w:rsidR="003D3187" w:rsidRDefault="00000000">
            <w:pPr>
              <w:spacing w:after="0" w:line="240" w:lineRule="auto"/>
              <w:ind w:left="0" w:firstLine="0"/>
            </w:pPr>
            <w:r>
              <w:t>As Section 151 Officer it is my considered opinion that the latest modelling represented in this report constitutes a robust financial budget setting position, upon which members can reliably use to fully inform required budget decisions.</w:t>
            </w:r>
            <w:r>
              <w:rPr>
                <w:b/>
              </w:rPr>
              <w:t xml:space="preserve"> </w:t>
            </w:r>
          </w:p>
          <w:p w14:paraId="6FEFA31B" w14:textId="77777777" w:rsidR="003D3187" w:rsidRDefault="00000000">
            <w:pPr>
              <w:spacing w:after="0" w:line="259" w:lineRule="auto"/>
              <w:ind w:left="0" w:firstLine="0"/>
            </w:pPr>
            <w:r>
              <w:rPr>
                <w:b/>
              </w:rPr>
              <w:t xml:space="preserve"> </w:t>
            </w:r>
          </w:p>
        </w:tc>
      </w:tr>
      <w:tr w:rsidR="003D3187" w14:paraId="0D4F1A4E" w14:textId="77777777">
        <w:trPr>
          <w:trHeight w:val="286"/>
        </w:trPr>
        <w:tc>
          <w:tcPr>
            <w:tcW w:w="10268" w:type="dxa"/>
            <w:gridSpan w:val="2"/>
            <w:tcBorders>
              <w:top w:val="single" w:sz="4" w:space="0" w:color="000000"/>
              <w:left w:val="single" w:sz="4" w:space="0" w:color="000000"/>
              <w:bottom w:val="single" w:sz="4" w:space="0" w:color="000000"/>
              <w:right w:val="single" w:sz="4" w:space="0" w:color="000000"/>
            </w:tcBorders>
          </w:tcPr>
          <w:p w14:paraId="6126170C" w14:textId="77777777" w:rsidR="003D3187" w:rsidRDefault="00000000">
            <w:pPr>
              <w:spacing w:after="0" w:line="259" w:lineRule="auto"/>
              <w:ind w:left="0" w:firstLine="0"/>
            </w:pPr>
            <w:r>
              <w:rPr>
                <w:b/>
              </w:rPr>
              <w:t xml:space="preserve">Recommendation(s): </w:t>
            </w:r>
            <w:r>
              <w:rPr>
                <w:b/>
                <w:i/>
              </w:rPr>
              <w:t xml:space="preserve"> </w:t>
            </w:r>
          </w:p>
        </w:tc>
      </w:tr>
      <w:tr w:rsidR="003D3187" w14:paraId="4EF0B64A" w14:textId="77777777">
        <w:trPr>
          <w:trHeight w:val="1114"/>
        </w:trPr>
        <w:tc>
          <w:tcPr>
            <w:tcW w:w="10268" w:type="dxa"/>
            <w:gridSpan w:val="2"/>
            <w:tcBorders>
              <w:top w:val="single" w:sz="4" w:space="0" w:color="000000"/>
              <w:left w:val="single" w:sz="4" w:space="0" w:color="000000"/>
              <w:bottom w:val="single" w:sz="4" w:space="0" w:color="000000"/>
              <w:right w:val="single" w:sz="4" w:space="0" w:color="000000"/>
            </w:tcBorders>
          </w:tcPr>
          <w:p w14:paraId="2EB0C7E0" w14:textId="77777777" w:rsidR="003D3187" w:rsidRDefault="00000000">
            <w:pPr>
              <w:spacing w:after="0" w:line="259" w:lineRule="auto"/>
              <w:ind w:left="0" w:right="81" w:firstLine="0"/>
            </w:pPr>
            <w:r>
              <w:t xml:space="preserve">1 Recommend that the Executive Board approve the attached proposals and methodology to be consulted on the Draft Budget from 21st October 2025 to 2nd December 2025 as detailed in Appendix 5.       </w:t>
            </w:r>
          </w:p>
        </w:tc>
      </w:tr>
      <w:tr w:rsidR="003D3187" w14:paraId="35DD12E1" w14:textId="77777777">
        <w:trPr>
          <w:trHeight w:val="1390"/>
        </w:trPr>
        <w:tc>
          <w:tcPr>
            <w:tcW w:w="10268" w:type="dxa"/>
            <w:gridSpan w:val="2"/>
            <w:tcBorders>
              <w:top w:val="single" w:sz="4" w:space="0" w:color="000000"/>
              <w:left w:val="single" w:sz="4" w:space="0" w:color="000000"/>
              <w:bottom w:val="single" w:sz="4" w:space="0" w:color="000000"/>
              <w:right w:val="single" w:sz="4" w:space="0" w:color="000000"/>
            </w:tcBorders>
          </w:tcPr>
          <w:p w14:paraId="038E0D87" w14:textId="77777777" w:rsidR="003D3187" w:rsidRDefault="00000000">
            <w:pPr>
              <w:spacing w:after="0" w:line="240" w:lineRule="auto"/>
              <w:ind w:left="385" w:right="56" w:hanging="385"/>
            </w:pPr>
            <w:r>
              <w:rPr>
                <w:b/>
              </w:rPr>
              <w:t>2</w:t>
            </w:r>
            <w:r>
              <w:t xml:space="preserve"> To note the provisional council taxbase of 72,244 Band D equivalents and the continued assumption of a maximum increase of 4.99% for 2026/27. For Nottingham City Council, the Band D equivalent (for the Council’s share of the bill would be £2,375.80, which would represent an increase of £112.92. </w:t>
            </w:r>
          </w:p>
          <w:p w14:paraId="7BA9A2F2" w14:textId="77777777" w:rsidR="003D3187" w:rsidRDefault="00000000">
            <w:pPr>
              <w:spacing w:after="0" w:line="259" w:lineRule="auto"/>
              <w:ind w:left="0" w:firstLine="0"/>
            </w:pPr>
            <w:r>
              <w:rPr>
                <w:b/>
              </w:rPr>
              <w:t xml:space="preserve">      </w:t>
            </w:r>
          </w:p>
        </w:tc>
      </w:tr>
      <w:tr w:rsidR="003D3187" w14:paraId="50D02CB3" w14:textId="77777777">
        <w:trPr>
          <w:trHeight w:val="1114"/>
        </w:trPr>
        <w:tc>
          <w:tcPr>
            <w:tcW w:w="10268" w:type="dxa"/>
            <w:gridSpan w:val="2"/>
            <w:tcBorders>
              <w:top w:val="single" w:sz="4" w:space="0" w:color="000000"/>
              <w:left w:val="single" w:sz="4" w:space="0" w:color="000000"/>
              <w:bottom w:val="single" w:sz="4" w:space="0" w:color="000000"/>
              <w:right w:val="single" w:sz="4" w:space="0" w:color="000000"/>
            </w:tcBorders>
          </w:tcPr>
          <w:p w14:paraId="7D2A0A0A" w14:textId="77777777" w:rsidR="003D3187" w:rsidRDefault="00000000">
            <w:pPr>
              <w:spacing w:after="0" w:line="259" w:lineRule="auto"/>
              <w:ind w:left="0" w:right="588" w:firstLine="0"/>
            </w:pPr>
            <w:r>
              <w:rPr>
                <w:b/>
              </w:rPr>
              <w:t>3</w:t>
            </w:r>
            <w:r>
              <w:t xml:space="preserve"> To note the CPI +1 % increase for social Housing rents, which is statutorily set on September inflation data but is provisionally based on July data 4.8% or an average of £97.12 per social housing dwelling in the Housing Revenue Account. </w:t>
            </w:r>
            <w:r>
              <w:rPr>
                <w:b/>
              </w:rPr>
              <w:t xml:space="preserve">      </w:t>
            </w:r>
          </w:p>
        </w:tc>
      </w:tr>
      <w:tr w:rsidR="003D3187" w14:paraId="54C6160B" w14:textId="77777777">
        <w:trPr>
          <w:trHeight w:val="838"/>
        </w:trPr>
        <w:tc>
          <w:tcPr>
            <w:tcW w:w="10268" w:type="dxa"/>
            <w:gridSpan w:val="2"/>
            <w:tcBorders>
              <w:top w:val="single" w:sz="4" w:space="0" w:color="000000"/>
              <w:left w:val="single" w:sz="4" w:space="0" w:color="000000"/>
              <w:bottom w:val="single" w:sz="4" w:space="0" w:color="000000"/>
              <w:right w:val="single" w:sz="4" w:space="0" w:color="000000"/>
            </w:tcBorders>
          </w:tcPr>
          <w:p w14:paraId="5D4FADA9" w14:textId="77777777" w:rsidR="003D3187" w:rsidRDefault="00000000">
            <w:pPr>
              <w:spacing w:after="0" w:line="259" w:lineRule="auto"/>
              <w:ind w:left="385" w:right="29" w:hanging="385"/>
            </w:pPr>
            <w:r>
              <w:rPr>
                <w:b/>
              </w:rPr>
              <w:lastRenderedPageBreak/>
              <w:t>4</w:t>
            </w:r>
            <w:r>
              <w:t xml:space="preserve">    To consider the proposed Medium Term Financial Strategy (MTFS) and Medium Term Financial Plan (MTFP) that will be agreed in February as part of the budget setting process. </w:t>
            </w:r>
          </w:p>
        </w:tc>
      </w:tr>
    </w:tbl>
    <w:p w14:paraId="4E48822E" w14:textId="77777777" w:rsidR="003D3187" w:rsidRDefault="00000000">
      <w:pPr>
        <w:spacing w:after="0" w:line="259" w:lineRule="auto"/>
        <w:ind w:left="0" w:firstLine="0"/>
      </w:pPr>
      <w:r>
        <w:rPr>
          <w:b/>
        </w:rPr>
        <w:t xml:space="preserve"> </w:t>
      </w:r>
    </w:p>
    <w:p w14:paraId="4EB704EA" w14:textId="77777777" w:rsidR="003D3187" w:rsidRDefault="00000000">
      <w:pPr>
        <w:numPr>
          <w:ilvl w:val="0"/>
          <w:numId w:val="1"/>
        </w:numPr>
        <w:spacing w:after="0"/>
        <w:ind w:right="450" w:hanging="40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BC73141" wp14:editId="63B95A1C">
                <wp:simplePos x="0" y="0"/>
                <wp:positionH relativeFrom="column">
                  <wp:posOffset>-71754</wp:posOffset>
                </wp:positionH>
                <wp:positionV relativeFrom="paragraph">
                  <wp:posOffset>-216771</wp:posOffset>
                </wp:positionV>
                <wp:extent cx="6526531" cy="5174018"/>
                <wp:effectExtent l="0" t="0" r="0" b="0"/>
                <wp:wrapNone/>
                <wp:docPr id="46515" name="Group 46515"/>
                <wp:cNvGraphicFramePr/>
                <a:graphic xmlns:a="http://schemas.openxmlformats.org/drawingml/2006/main">
                  <a:graphicData uri="http://schemas.microsoft.com/office/word/2010/wordprocessingGroup">
                    <wpg:wgp>
                      <wpg:cNvGrpSpPr/>
                      <wpg:grpSpPr>
                        <a:xfrm>
                          <a:off x="0" y="0"/>
                          <a:ext cx="6526531" cy="5174018"/>
                          <a:chOff x="0" y="0"/>
                          <a:chExt cx="6526531" cy="5174018"/>
                        </a:xfrm>
                      </wpg:grpSpPr>
                      <wps:wsp>
                        <wps:cNvPr id="136" name="Shape 136"/>
                        <wps:cNvSpPr/>
                        <wps:spPr>
                          <a:xfrm>
                            <a:off x="2948064" y="1619771"/>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137" name="Shape 137"/>
                        <wps:cNvSpPr/>
                        <wps:spPr>
                          <a:xfrm>
                            <a:off x="2948064" y="1619771"/>
                            <a:ext cx="147307" cy="147307"/>
                          </a:xfrm>
                          <a:custGeom>
                            <a:avLst/>
                            <a:gdLst/>
                            <a:ahLst/>
                            <a:cxnLst/>
                            <a:rect l="0" t="0" r="0" b="0"/>
                            <a:pathLst>
                              <a:path w="147307" h="147307">
                                <a:moveTo>
                                  <a:pt x="0" y="0"/>
                                </a:moveTo>
                                <a:lnTo>
                                  <a:pt x="147307" y="14730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8" name="Shape 138"/>
                        <wps:cNvSpPr/>
                        <wps:spPr>
                          <a:xfrm>
                            <a:off x="2948064" y="1619771"/>
                            <a:ext cx="147307" cy="147307"/>
                          </a:xfrm>
                          <a:custGeom>
                            <a:avLst/>
                            <a:gdLst/>
                            <a:ahLst/>
                            <a:cxnLst/>
                            <a:rect l="0" t="0" r="0" b="0"/>
                            <a:pathLst>
                              <a:path w="147307" h="147307">
                                <a:moveTo>
                                  <a:pt x="147307" y="0"/>
                                </a:moveTo>
                                <a:lnTo>
                                  <a:pt x="0" y="14730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1" name="Shape 141"/>
                        <wps:cNvSpPr/>
                        <wps:spPr>
                          <a:xfrm>
                            <a:off x="3335096" y="1619771"/>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144" name="Shape 144"/>
                        <wps:cNvSpPr/>
                        <wps:spPr>
                          <a:xfrm>
                            <a:off x="3722129" y="1619771"/>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223" name="Shape 223"/>
                        <wps:cNvSpPr/>
                        <wps:spPr>
                          <a:xfrm>
                            <a:off x="542925" y="3951732"/>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1616202" y="3951732"/>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229" name="Shape 229"/>
                        <wps:cNvSpPr/>
                        <wps:spPr>
                          <a:xfrm>
                            <a:off x="2375904" y="3951732"/>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230" name="Shape 230"/>
                        <wps:cNvSpPr/>
                        <wps:spPr>
                          <a:xfrm>
                            <a:off x="2375904" y="3951732"/>
                            <a:ext cx="147307" cy="147307"/>
                          </a:xfrm>
                          <a:custGeom>
                            <a:avLst/>
                            <a:gdLst/>
                            <a:ahLst/>
                            <a:cxnLst/>
                            <a:rect l="0" t="0" r="0" b="0"/>
                            <a:pathLst>
                              <a:path w="147307" h="147307">
                                <a:moveTo>
                                  <a:pt x="0" y="0"/>
                                </a:moveTo>
                                <a:lnTo>
                                  <a:pt x="147307" y="14730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31" name="Shape 231"/>
                        <wps:cNvSpPr/>
                        <wps:spPr>
                          <a:xfrm>
                            <a:off x="2375904" y="3951732"/>
                            <a:ext cx="147307" cy="147307"/>
                          </a:xfrm>
                          <a:custGeom>
                            <a:avLst/>
                            <a:gdLst/>
                            <a:ahLst/>
                            <a:cxnLst/>
                            <a:rect l="0" t="0" r="0" b="0"/>
                            <a:pathLst>
                              <a:path w="147307" h="147307">
                                <a:moveTo>
                                  <a:pt x="147307" y="0"/>
                                </a:moveTo>
                                <a:lnTo>
                                  <a:pt x="0" y="14730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38" name="Shape 238"/>
                        <wps:cNvSpPr/>
                        <wps:spPr>
                          <a:xfrm>
                            <a:off x="542925" y="4302227"/>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239" name="Shape 239"/>
                        <wps:cNvSpPr/>
                        <wps:spPr>
                          <a:xfrm>
                            <a:off x="542925" y="4302227"/>
                            <a:ext cx="147307" cy="147307"/>
                          </a:xfrm>
                          <a:custGeom>
                            <a:avLst/>
                            <a:gdLst/>
                            <a:ahLst/>
                            <a:cxnLst/>
                            <a:rect l="0" t="0" r="0" b="0"/>
                            <a:pathLst>
                              <a:path w="147307" h="147307">
                                <a:moveTo>
                                  <a:pt x="0" y="0"/>
                                </a:moveTo>
                                <a:lnTo>
                                  <a:pt x="147307" y="14730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40" name="Shape 240"/>
                        <wps:cNvSpPr/>
                        <wps:spPr>
                          <a:xfrm>
                            <a:off x="542925" y="4302227"/>
                            <a:ext cx="147307" cy="147307"/>
                          </a:xfrm>
                          <a:custGeom>
                            <a:avLst/>
                            <a:gdLst/>
                            <a:ahLst/>
                            <a:cxnLst/>
                            <a:rect l="0" t="0" r="0" b="0"/>
                            <a:pathLst>
                              <a:path w="147307" h="147307">
                                <a:moveTo>
                                  <a:pt x="147307" y="0"/>
                                </a:moveTo>
                                <a:lnTo>
                                  <a:pt x="0" y="14730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0" name="Shape 250"/>
                        <wps:cNvSpPr/>
                        <wps:spPr>
                          <a:xfrm>
                            <a:off x="3175" y="3175"/>
                            <a:ext cx="0" cy="5167668"/>
                          </a:xfrm>
                          <a:custGeom>
                            <a:avLst/>
                            <a:gdLst/>
                            <a:ahLst/>
                            <a:cxnLst/>
                            <a:rect l="0" t="0" r="0" b="0"/>
                            <a:pathLst>
                              <a:path h="5167668">
                                <a:moveTo>
                                  <a:pt x="0" y="0"/>
                                </a:moveTo>
                                <a:lnTo>
                                  <a:pt x="0" y="5167668"/>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1" name="Shape 251"/>
                        <wps:cNvSpPr/>
                        <wps:spPr>
                          <a:xfrm>
                            <a:off x="6523356" y="3175"/>
                            <a:ext cx="0" cy="5167668"/>
                          </a:xfrm>
                          <a:custGeom>
                            <a:avLst/>
                            <a:gdLst/>
                            <a:ahLst/>
                            <a:cxnLst/>
                            <a:rect l="0" t="0" r="0" b="0"/>
                            <a:pathLst>
                              <a:path h="5167668">
                                <a:moveTo>
                                  <a:pt x="0" y="0"/>
                                </a:moveTo>
                                <a:lnTo>
                                  <a:pt x="0" y="5167668"/>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2" name="Shape 252"/>
                        <wps:cNvSpPr/>
                        <wps:spPr>
                          <a:xfrm>
                            <a:off x="2176145" y="1787398"/>
                            <a:ext cx="0" cy="1968767"/>
                          </a:xfrm>
                          <a:custGeom>
                            <a:avLst/>
                            <a:gdLst/>
                            <a:ahLst/>
                            <a:cxnLst/>
                            <a:rect l="0" t="0" r="0" b="0"/>
                            <a:pathLst>
                              <a:path h="1968767">
                                <a:moveTo>
                                  <a:pt x="0" y="0"/>
                                </a:moveTo>
                                <a:lnTo>
                                  <a:pt x="0" y="196876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4349750" y="1787398"/>
                            <a:ext cx="0" cy="1968767"/>
                          </a:xfrm>
                          <a:custGeom>
                            <a:avLst/>
                            <a:gdLst/>
                            <a:ahLst/>
                            <a:cxnLst/>
                            <a:rect l="0" t="0" r="0" b="0"/>
                            <a:pathLst>
                              <a:path h="1968767">
                                <a:moveTo>
                                  <a:pt x="0" y="0"/>
                                </a:moveTo>
                                <a:lnTo>
                                  <a:pt x="0" y="196876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4" name="Shape 254"/>
                        <wps:cNvSpPr/>
                        <wps:spPr>
                          <a:xfrm>
                            <a:off x="0" y="0"/>
                            <a:ext cx="6526531" cy="0"/>
                          </a:xfrm>
                          <a:custGeom>
                            <a:avLst/>
                            <a:gdLst/>
                            <a:ahLst/>
                            <a:cxnLst/>
                            <a:rect l="0" t="0" r="0" b="0"/>
                            <a:pathLst>
                              <a:path w="6526531">
                                <a:moveTo>
                                  <a:pt x="0" y="0"/>
                                </a:moveTo>
                                <a:lnTo>
                                  <a:pt x="65265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5" name="Shape 255"/>
                        <wps:cNvSpPr/>
                        <wps:spPr>
                          <a:xfrm>
                            <a:off x="6350" y="181597"/>
                            <a:ext cx="6513831" cy="0"/>
                          </a:xfrm>
                          <a:custGeom>
                            <a:avLst/>
                            <a:gdLst/>
                            <a:ahLst/>
                            <a:cxnLst/>
                            <a:rect l="0" t="0" r="0" b="0"/>
                            <a:pathLst>
                              <a:path w="6513831">
                                <a:moveTo>
                                  <a:pt x="0" y="0"/>
                                </a:moveTo>
                                <a:lnTo>
                                  <a:pt x="65138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6" name="Shape 256"/>
                        <wps:cNvSpPr/>
                        <wps:spPr>
                          <a:xfrm>
                            <a:off x="6350" y="888936"/>
                            <a:ext cx="6513831" cy="0"/>
                          </a:xfrm>
                          <a:custGeom>
                            <a:avLst/>
                            <a:gdLst/>
                            <a:ahLst/>
                            <a:cxnLst/>
                            <a:rect l="0" t="0" r="0" b="0"/>
                            <a:pathLst>
                              <a:path w="6513831">
                                <a:moveTo>
                                  <a:pt x="0" y="0"/>
                                </a:moveTo>
                                <a:lnTo>
                                  <a:pt x="65138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7" name="Shape 257"/>
                        <wps:cNvSpPr/>
                        <wps:spPr>
                          <a:xfrm>
                            <a:off x="6350" y="1245781"/>
                            <a:ext cx="6513831" cy="0"/>
                          </a:xfrm>
                          <a:custGeom>
                            <a:avLst/>
                            <a:gdLst/>
                            <a:ahLst/>
                            <a:cxnLst/>
                            <a:rect l="0" t="0" r="0" b="0"/>
                            <a:pathLst>
                              <a:path w="6513831">
                                <a:moveTo>
                                  <a:pt x="0" y="0"/>
                                </a:moveTo>
                                <a:lnTo>
                                  <a:pt x="65138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8" name="Shape 258"/>
                        <wps:cNvSpPr/>
                        <wps:spPr>
                          <a:xfrm>
                            <a:off x="6350" y="1602626"/>
                            <a:ext cx="6513831" cy="0"/>
                          </a:xfrm>
                          <a:custGeom>
                            <a:avLst/>
                            <a:gdLst/>
                            <a:ahLst/>
                            <a:cxnLst/>
                            <a:rect l="0" t="0" r="0" b="0"/>
                            <a:pathLst>
                              <a:path w="6513831">
                                <a:moveTo>
                                  <a:pt x="0" y="0"/>
                                </a:moveTo>
                                <a:lnTo>
                                  <a:pt x="65138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9" name="Shape 259"/>
                        <wps:cNvSpPr/>
                        <wps:spPr>
                          <a:xfrm>
                            <a:off x="6350" y="1784223"/>
                            <a:ext cx="6513831" cy="0"/>
                          </a:xfrm>
                          <a:custGeom>
                            <a:avLst/>
                            <a:gdLst/>
                            <a:ahLst/>
                            <a:cxnLst/>
                            <a:rect l="0" t="0" r="0" b="0"/>
                            <a:pathLst>
                              <a:path w="6513831">
                                <a:moveTo>
                                  <a:pt x="0" y="0"/>
                                </a:moveTo>
                                <a:lnTo>
                                  <a:pt x="65138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0" name="Shape 260"/>
                        <wps:cNvSpPr/>
                        <wps:spPr>
                          <a:xfrm>
                            <a:off x="6350" y="3759340"/>
                            <a:ext cx="6513831" cy="0"/>
                          </a:xfrm>
                          <a:custGeom>
                            <a:avLst/>
                            <a:gdLst/>
                            <a:ahLst/>
                            <a:cxnLst/>
                            <a:rect l="0" t="0" r="0" b="0"/>
                            <a:pathLst>
                              <a:path w="6513831">
                                <a:moveTo>
                                  <a:pt x="0" y="0"/>
                                </a:moveTo>
                                <a:lnTo>
                                  <a:pt x="65138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1" name="Shape 261"/>
                        <wps:cNvSpPr/>
                        <wps:spPr>
                          <a:xfrm>
                            <a:off x="6350" y="4466679"/>
                            <a:ext cx="6513831" cy="0"/>
                          </a:xfrm>
                          <a:custGeom>
                            <a:avLst/>
                            <a:gdLst/>
                            <a:ahLst/>
                            <a:cxnLst/>
                            <a:rect l="0" t="0" r="0" b="0"/>
                            <a:pathLst>
                              <a:path w="6513831">
                                <a:moveTo>
                                  <a:pt x="0" y="0"/>
                                </a:moveTo>
                                <a:lnTo>
                                  <a:pt x="65138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2" name="Shape 262"/>
                        <wps:cNvSpPr/>
                        <wps:spPr>
                          <a:xfrm>
                            <a:off x="0" y="5174018"/>
                            <a:ext cx="6526531" cy="0"/>
                          </a:xfrm>
                          <a:custGeom>
                            <a:avLst/>
                            <a:gdLst/>
                            <a:ahLst/>
                            <a:cxnLst/>
                            <a:rect l="0" t="0" r="0" b="0"/>
                            <a:pathLst>
                              <a:path w="6526531">
                                <a:moveTo>
                                  <a:pt x="0" y="0"/>
                                </a:moveTo>
                                <a:lnTo>
                                  <a:pt x="65265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15" style="width:513.9pt;height:407.403pt;position:absolute;z-index:-2147483519;mso-position-horizontal-relative:text;mso-position-horizontal:absolute;margin-left:-5.65pt;mso-position-vertical-relative:text;margin-top:-17.0687pt;" coordsize="65265,51740">
                <v:shape id="Shape 136" style="position:absolute;width:1473;height:1473;left:29480;top:16197;" coordsize="147307,147307" path="m0,0l147307,0l147307,147307l0,147307x">
                  <v:stroke weight="0.7pt" endcap="flat" joinstyle="miter" miterlimit="10" on="true" color="#000000"/>
                  <v:fill on="false" color="#000000" opacity="0"/>
                </v:shape>
                <v:shape id="Shape 137" style="position:absolute;width:1473;height:1473;left:29480;top:16197;" coordsize="147307,147307" path="m0,0l147307,147307">
                  <v:stroke weight="0.5pt" endcap="flat" joinstyle="miter" miterlimit="10" on="true" color="#000000"/>
                  <v:fill on="false" color="#000000" opacity="0"/>
                </v:shape>
                <v:shape id="Shape 138" style="position:absolute;width:1473;height:1473;left:29480;top:16197;" coordsize="147307,147307" path="m147307,0l0,147307">
                  <v:stroke weight="0.5pt" endcap="flat" joinstyle="miter" miterlimit="10" on="true" color="#000000"/>
                  <v:fill on="false" color="#000000" opacity="0"/>
                </v:shape>
                <v:shape id="Shape 141" style="position:absolute;width:1473;height:1473;left:33350;top:16197;" coordsize="147307,147307" path="m0,0l147307,0l147307,147307l0,147307x">
                  <v:stroke weight="0.7pt" endcap="flat" joinstyle="miter" miterlimit="10" on="true" color="#000000"/>
                  <v:fill on="false" color="#000000" opacity="0"/>
                </v:shape>
                <v:shape id="Shape 144" style="position:absolute;width:1473;height:1473;left:37221;top:16197;" coordsize="147307,147307" path="m0,0l147307,0l147307,147307l0,147307x">
                  <v:stroke weight="0.7pt" endcap="flat" joinstyle="miter" miterlimit="10" on="true" color="#000000"/>
                  <v:fill on="false" color="#000000" opacity="0"/>
                </v:shape>
                <v:shape id="Shape 223" style="position:absolute;width:1473;height:1473;left:5429;top:39517;" coordsize="147307,147307" path="m0,0l147307,0l147307,147307l0,147307x">
                  <v:stroke weight="0.7pt" endcap="flat" joinstyle="miter" miterlimit="10" on="true" color="#000000"/>
                  <v:fill on="false" color="#000000" opacity="0"/>
                </v:shape>
                <v:shape id="Shape 226" style="position:absolute;width:1473;height:1473;left:16162;top:39517;" coordsize="147307,147307" path="m0,0l147307,0l147307,147307l0,147307x">
                  <v:stroke weight="0.7pt" endcap="flat" joinstyle="miter" miterlimit="10" on="true" color="#000000"/>
                  <v:fill on="false" color="#000000" opacity="0"/>
                </v:shape>
                <v:shape id="Shape 229" style="position:absolute;width:1473;height:1473;left:23759;top:39517;" coordsize="147307,147307" path="m0,0l147307,0l147307,147307l0,147307x">
                  <v:stroke weight="0.7pt" endcap="flat" joinstyle="miter" miterlimit="10" on="true" color="#000000"/>
                  <v:fill on="false" color="#000000" opacity="0"/>
                </v:shape>
                <v:shape id="Shape 230" style="position:absolute;width:1473;height:1473;left:23759;top:39517;" coordsize="147307,147307" path="m0,0l147307,147307">
                  <v:stroke weight="0.5pt" endcap="flat" joinstyle="miter" miterlimit="10" on="true" color="#000000"/>
                  <v:fill on="false" color="#000000" opacity="0"/>
                </v:shape>
                <v:shape id="Shape 231" style="position:absolute;width:1473;height:1473;left:23759;top:39517;" coordsize="147307,147307" path="m147307,0l0,147307">
                  <v:stroke weight="0.5pt" endcap="flat" joinstyle="miter" miterlimit="10" on="true" color="#000000"/>
                  <v:fill on="false" color="#000000" opacity="0"/>
                </v:shape>
                <v:shape id="Shape 238" style="position:absolute;width:1473;height:1473;left:5429;top:43022;" coordsize="147307,147307" path="m0,0l147307,0l147307,147307l0,147307x">
                  <v:stroke weight="0.7pt" endcap="flat" joinstyle="miter" miterlimit="10" on="true" color="#000000"/>
                  <v:fill on="false" color="#000000" opacity="0"/>
                </v:shape>
                <v:shape id="Shape 239" style="position:absolute;width:1473;height:1473;left:5429;top:43022;" coordsize="147307,147307" path="m0,0l147307,147307">
                  <v:stroke weight="0.5pt" endcap="flat" joinstyle="miter" miterlimit="10" on="true" color="#000000"/>
                  <v:fill on="false" color="#000000" opacity="0"/>
                </v:shape>
                <v:shape id="Shape 240" style="position:absolute;width:1473;height:1473;left:5429;top:43022;" coordsize="147307,147307" path="m147307,0l0,147307">
                  <v:stroke weight="0.5pt" endcap="flat" joinstyle="miter" miterlimit="10" on="true" color="#000000"/>
                  <v:fill on="false" color="#000000" opacity="0"/>
                </v:shape>
                <v:shape id="Shape 250" style="position:absolute;width:0;height:51676;left:31;top:31;" coordsize="0,5167668" path="m0,0l0,5167668">
                  <v:stroke weight="0.5pt" endcap="flat" joinstyle="miter" miterlimit="10" on="true" color="#000000"/>
                  <v:fill on="false" color="#000000" opacity="0"/>
                </v:shape>
                <v:shape id="Shape 251" style="position:absolute;width:0;height:51676;left:65233;top:31;" coordsize="0,5167668" path="m0,0l0,5167668">
                  <v:stroke weight="0.5pt" endcap="flat" joinstyle="miter" miterlimit="10" on="true" color="#000000"/>
                  <v:fill on="false" color="#000000" opacity="0"/>
                </v:shape>
                <v:shape id="Shape 252" style="position:absolute;width:0;height:19687;left:21761;top:17873;" coordsize="0,1968767" path="m0,0l0,1968767">
                  <v:stroke weight="0.5pt" endcap="flat" joinstyle="miter" miterlimit="10" on="true" color="#000000"/>
                  <v:fill on="false" color="#000000" opacity="0"/>
                </v:shape>
                <v:shape id="Shape 253" style="position:absolute;width:0;height:19687;left:43497;top:17873;" coordsize="0,1968767" path="m0,0l0,1968767">
                  <v:stroke weight="0.5pt" endcap="flat" joinstyle="miter" miterlimit="10" on="true" color="#000000"/>
                  <v:fill on="false" color="#000000" opacity="0"/>
                </v:shape>
                <v:shape id="Shape 254" style="position:absolute;width:65265;height:0;left:0;top:0;" coordsize="6526531,0" path="m0,0l6526531,0">
                  <v:stroke weight="0.5pt" endcap="flat" joinstyle="miter" miterlimit="10" on="true" color="#000000"/>
                  <v:fill on="false" color="#000000" opacity="0"/>
                </v:shape>
                <v:shape id="Shape 255" style="position:absolute;width:65138;height:0;left:63;top:1815;" coordsize="6513831,0" path="m0,0l6513831,0">
                  <v:stroke weight="0.5pt" endcap="flat" joinstyle="miter" miterlimit="10" on="true" color="#000000"/>
                  <v:fill on="false" color="#000000" opacity="0"/>
                </v:shape>
                <v:shape id="Shape 256" style="position:absolute;width:65138;height:0;left:63;top:8889;" coordsize="6513831,0" path="m0,0l6513831,0">
                  <v:stroke weight="0.5pt" endcap="flat" joinstyle="miter" miterlimit="10" on="true" color="#000000"/>
                  <v:fill on="false" color="#000000" opacity="0"/>
                </v:shape>
                <v:shape id="Shape 257" style="position:absolute;width:65138;height:0;left:63;top:12457;" coordsize="6513831,0" path="m0,0l6513831,0">
                  <v:stroke weight="0.5pt" endcap="flat" joinstyle="miter" miterlimit="10" on="true" color="#000000"/>
                  <v:fill on="false" color="#000000" opacity="0"/>
                </v:shape>
                <v:shape id="Shape 258" style="position:absolute;width:65138;height:0;left:63;top:16026;" coordsize="6513831,0" path="m0,0l6513831,0">
                  <v:stroke weight="0.5pt" endcap="flat" joinstyle="miter" miterlimit="10" on="true" color="#000000"/>
                  <v:fill on="false" color="#000000" opacity="0"/>
                </v:shape>
                <v:shape id="Shape 259" style="position:absolute;width:65138;height:0;left:63;top:17842;" coordsize="6513831,0" path="m0,0l6513831,0">
                  <v:stroke weight="0.5pt" endcap="flat" joinstyle="miter" miterlimit="10" on="true" color="#000000"/>
                  <v:fill on="false" color="#000000" opacity="0"/>
                </v:shape>
                <v:shape id="Shape 260" style="position:absolute;width:65138;height:0;left:63;top:37593;" coordsize="6513831,0" path="m0,0l6513831,0">
                  <v:stroke weight="0.5pt" endcap="flat" joinstyle="miter" miterlimit="10" on="true" color="#000000"/>
                  <v:fill on="false" color="#000000" opacity="0"/>
                </v:shape>
                <v:shape id="Shape 261" style="position:absolute;width:65138;height:0;left:63;top:44666;" coordsize="6513831,0" path="m0,0l6513831,0">
                  <v:stroke weight="0.5pt" endcap="flat" joinstyle="miter" miterlimit="10" on="true" color="#000000"/>
                  <v:fill on="false" color="#000000" opacity="0"/>
                </v:shape>
                <v:shape id="Shape 262" style="position:absolute;width:65265;height:0;left:0;top:51740;" coordsize="6526531,0" path="m0,0l6526531,0">
                  <v:stroke weight="0.5pt" endcap="flat" joinstyle="miter" miterlimit="10" on="true" color="#000000"/>
                  <v:fill on="false" color="#000000" opacity="0"/>
                </v:shape>
              </v:group>
            </w:pict>
          </mc:Fallback>
        </mc:AlternateContent>
      </w:r>
      <w:r>
        <w:t xml:space="preserve">To note the Fees and Charges rises being open to consultation (Appendix 6) and that the majority of fees and charges will either increase by inflation or in line with cost recovery except in a rare number of instances as noted in paragraph 6.16. </w:t>
      </w:r>
    </w:p>
    <w:p w14:paraId="5E44558E" w14:textId="77777777" w:rsidR="003D3187" w:rsidRDefault="00000000">
      <w:pPr>
        <w:spacing w:after="0" w:line="259" w:lineRule="auto"/>
        <w:ind w:left="0" w:firstLine="0"/>
      </w:pPr>
      <w:r>
        <w:rPr>
          <w:b/>
        </w:rPr>
        <w:t xml:space="preserve"> </w:t>
      </w:r>
    </w:p>
    <w:p w14:paraId="7E930C89" w14:textId="77777777" w:rsidR="003D3187" w:rsidRDefault="00000000">
      <w:pPr>
        <w:numPr>
          <w:ilvl w:val="0"/>
          <w:numId w:val="1"/>
        </w:numPr>
        <w:spacing w:after="10"/>
        <w:ind w:right="450" w:hanging="400"/>
      </w:pPr>
      <w:r>
        <w:t xml:space="preserve">To agree to write out past year savings as detailed in Appendix 1. </w:t>
      </w:r>
    </w:p>
    <w:p w14:paraId="6A54EFCF" w14:textId="77777777" w:rsidR="003D3187" w:rsidRDefault="00000000">
      <w:pPr>
        <w:spacing w:after="0" w:line="259" w:lineRule="auto"/>
        <w:ind w:left="0" w:firstLine="0"/>
      </w:pPr>
      <w:r>
        <w:rPr>
          <w:b/>
        </w:rPr>
        <w:t xml:space="preserve"> </w:t>
      </w:r>
    </w:p>
    <w:p w14:paraId="5780C4C5" w14:textId="77777777" w:rsidR="003D3187" w:rsidRDefault="00000000">
      <w:pPr>
        <w:numPr>
          <w:ilvl w:val="0"/>
          <w:numId w:val="1"/>
        </w:numPr>
        <w:spacing w:after="10"/>
        <w:ind w:right="450" w:hanging="400"/>
      </w:pPr>
      <w:r>
        <w:t xml:space="preserve">To note the proposed investment proposals in Appendix 3 </w:t>
      </w:r>
    </w:p>
    <w:p w14:paraId="02099AFA" w14:textId="77777777" w:rsidR="003D3187" w:rsidRDefault="00000000">
      <w:pPr>
        <w:spacing w:after="9" w:line="259" w:lineRule="auto"/>
        <w:ind w:left="0" w:firstLine="0"/>
      </w:pPr>
      <w:r>
        <w:rPr>
          <w:b/>
        </w:rPr>
        <w:t xml:space="preserve">      </w:t>
      </w:r>
    </w:p>
    <w:p w14:paraId="458B2164" w14:textId="77777777" w:rsidR="003D3187" w:rsidRDefault="00000000">
      <w:pPr>
        <w:tabs>
          <w:tab w:val="center" w:pos="4917"/>
          <w:tab w:val="center" w:pos="5527"/>
          <w:tab w:val="center" w:pos="6003"/>
        </w:tabs>
        <w:spacing w:after="1" w:line="262" w:lineRule="auto"/>
        <w:ind w:left="0" w:firstLine="0"/>
      </w:pPr>
      <w:r>
        <w:rPr>
          <w:b/>
        </w:rPr>
        <w:t xml:space="preserve">Relevant Council Plan Core Mission: 1. </w:t>
      </w:r>
      <w:r>
        <w:rPr>
          <w:b/>
        </w:rPr>
        <w:tab/>
        <w:t xml:space="preserve"> 2. </w:t>
      </w:r>
      <w:r>
        <w:rPr>
          <w:b/>
        </w:rPr>
        <w:tab/>
        <w:t xml:space="preserve"> 3. </w:t>
      </w:r>
      <w:r>
        <w:rPr>
          <w:b/>
        </w:rPr>
        <w:tab/>
        <w:t xml:space="preserve"> </w:t>
      </w:r>
    </w:p>
    <w:p w14:paraId="058CD87E" w14:textId="77777777" w:rsidR="003D3187" w:rsidRDefault="00000000">
      <w:pPr>
        <w:pStyle w:val="Heading1"/>
        <w:ind w:left="360" w:right="533" w:hanging="360"/>
      </w:pPr>
      <w:r>
        <w:t xml:space="preserve">1. A Renewed Council </w:t>
      </w:r>
      <w:r>
        <w:tab/>
        <w:t xml:space="preserve">2. Delivering for local </w:t>
      </w:r>
      <w:r>
        <w:tab/>
        <w:t xml:space="preserve">3. Leading Nottingham  </w:t>
      </w:r>
      <w:r>
        <w:tab/>
        <w:t xml:space="preserve">people </w:t>
      </w:r>
      <w:r>
        <w:tab/>
        <w:t xml:space="preserve">forward </w:t>
      </w:r>
    </w:p>
    <w:p w14:paraId="075A181E" w14:textId="77777777" w:rsidR="003D3187" w:rsidRDefault="00000000">
      <w:pPr>
        <w:numPr>
          <w:ilvl w:val="0"/>
          <w:numId w:val="2"/>
        </w:numPr>
        <w:spacing w:after="40"/>
        <w:ind w:right="450" w:hanging="425"/>
      </w:pPr>
      <w:r>
        <w:t xml:space="preserve">Fostering governance </w:t>
      </w:r>
      <w:r>
        <w:tab/>
      </w:r>
      <w:r>
        <w:rPr>
          <w:rFonts w:ascii="Segoe UI Symbol" w:eastAsia="Segoe UI Symbol" w:hAnsi="Segoe UI Symbol" w:cs="Segoe UI Symbol"/>
        </w:rPr>
        <w:t>•</w:t>
      </w:r>
      <w:r>
        <w:t xml:space="preserve"> Empowering safe </w:t>
      </w:r>
      <w:r>
        <w:tab/>
      </w:r>
      <w:r>
        <w:rPr>
          <w:rFonts w:ascii="Segoe UI Symbol" w:eastAsia="Segoe UI Symbol" w:hAnsi="Segoe UI Symbol" w:cs="Segoe UI Symbol"/>
        </w:rPr>
        <w:t>•</w:t>
      </w:r>
      <w:r>
        <w:t xml:space="preserve"> Revitalising the transparency and </w:t>
      </w:r>
      <w:r>
        <w:tab/>
        <w:t xml:space="preserve">communities </w:t>
      </w:r>
      <w:r>
        <w:tab/>
        <w:t xml:space="preserve">economy </w:t>
      </w:r>
    </w:p>
    <w:p w14:paraId="265BEF2C" w14:textId="77777777" w:rsidR="003D3187" w:rsidRDefault="00000000">
      <w:pPr>
        <w:tabs>
          <w:tab w:val="center" w:pos="1243"/>
          <w:tab w:val="center" w:pos="4756"/>
          <w:tab w:val="center" w:pos="8419"/>
        </w:tabs>
        <w:spacing w:after="10"/>
        <w:ind w:left="0" w:firstLine="0"/>
      </w:pPr>
      <w:r>
        <w:rPr>
          <w:rFonts w:ascii="Calibri" w:eastAsia="Calibri" w:hAnsi="Calibri" w:cs="Calibri"/>
          <w:sz w:val="22"/>
        </w:rPr>
        <w:tab/>
      </w:r>
      <w:r>
        <w:t xml:space="preserve">innovation </w:t>
      </w:r>
      <w:r>
        <w:tab/>
      </w:r>
      <w:r>
        <w:rPr>
          <w:rFonts w:ascii="Segoe UI Symbol" w:eastAsia="Segoe UI Symbol" w:hAnsi="Segoe UI Symbol" w:cs="Segoe UI Symbol"/>
        </w:rPr>
        <w:t>•</w:t>
      </w:r>
      <w:r>
        <w:t xml:space="preserve"> Providing safe, </w:t>
      </w:r>
      <w:r>
        <w:tab/>
      </w:r>
      <w:r>
        <w:rPr>
          <w:rFonts w:ascii="Segoe UI Symbol" w:eastAsia="Segoe UI Symbol" w:hAnsi="Segoe UI Symbol" w:cs="Segoe UI Symbol"/>
        </w:rPr>
        <w:t>•</w:t>
      </w:r>
      <w:r>
        <w:t xml:space="preserve"> Celebrating cultural </w:t>
      </w:r>
    </w:p>
    <w:p w14:paraId="2FF32E45" w14:textId="77777777" w:rsidR="003D3187" w:rsidRDefault="00000000">
      <w:pPr>
        <w:numPr>
          <w:ilvl w:val="0"/>
          <w:numId w:val="2"/>
        </w:numPr>
        <w:spacing w:after="10"/>
        <w:ind w:right="450" w:hanging="425"/>
      </w:pPr>
      <w:r>
        <w:t xml:space="preserve">Financial stewardship </w:t>
      </w:r>
      <w:r>
        <w:tab/>
        <w:t xml:space="preserve">affordable housing </w:t>
      </w:r>
      <w:r>
        <w:tab/>
        <w:t xml:space="preserve">heritage </w:t>
      </w:r>
    </w:p>
    <w:p w14:paraId="1F42EB41" w14:textId="77777777" w:rsidR="003D3187" w:rsidRDefault="00000000">
      <w:pPr>
        <w:numPr>
          <w:ilvl w:val="0"/>
          <w:numId w:val="2"/>
        </w:numPr>
        <w:spacing w:after="10"/>
        <w:ind w:right="450" w:hanging="425"/>
      </w:pPr>
      <w:r>
        <w:t xml:space="preserve">Adopting a ‘One </w:t>
      </w:r>
      <w:r>
        <w:tab/>
      </w:r>
      <w:r>
        <w:rPr>
          <w:rFonts w:ascii="Segoe UI Symbol" w:eastAsia="Segoe UI Symbol" w:hAnsi="Segoe UI Symbol" w:cs="Segoe UI Symbol"/>
        </w:rPr>
        <w:t>•</w:t>
      </w:r>
      <w:r>
        <w:t xml:space="preserve"> Healthy and safe </w:t>
      </w:r>
      <w:r>
        <w:tab/>
      </w:r>
      <w:r>
        <w:rPr>
          <w:rFonts w:ascii="Segoe UI Symbol" w:eastAsia="Segoe UI Symbol" w:hAnsi="Segoe UI Symbol" w:cs="Segoe UI Symbol"/>
        </w:rPr>
        <w:t>•</w:t>
      </w:r>
      <w:r>
        <w:t xml:space="preserve"> Improving </w:t>
      </w:r>
    </w:p>
    <w:p w14:paraId="6547DC73" w14:textId="77777777" w:rsidR="003D3187" w:rsidRDefault="00000000">
      <w:pPr>
        <w:tabs>
          <w:tab w:val="center" w:pos="1657"/>
          <w:tab w:val="center" w:pos="4629"/>
          <w:tab w:val="center" w:pos="8499"/>
        </w:tabs>
        <w:spacing w:after="35"/>
        <w:ind w:left="0" w:firstLine="0"/>
      </w:pPr>
      <w:r>
        <w:rPr>
          <w:rFonts w:ascii="Calibri" w:eastAsia="Calibri" w:hAnsi="Calibri" w:cs="Calibri"/>
          <w:sz w:val="22"/>
        </w:rPr>
        <w:tab/>
      </w:r>
      <w:r>
        <w:t xml:space="preserve">Council’ approach </w:t>
      </w:r>
      <w:r>
        <w:tab/>
        <w:t xml:space="preserve">residents </w:t>
      </w:r>
      <w:r>
        <w:tab/>
        <w:t xml:space="preserve">infrastructure and </w:t>
      </w:r>
    </w:p>
    <w:p w14:paraId="10E11EB1" w14:textId="77777777" w:rsidR="003D3187" w:rsidRDefault="00000000">
      <w:pPr>
        <w:numPr>
          <w:ilvl w:val="0"/>
          <w:numId w:val="2"/>
        </w:numPr>
        <w:spacing w:after="0"/>
        <w:ind w:right="450" w:hanging="425"/>
      </w:pPr>
      <w:r>
        <w:t xml:space="preserve">Enhancing education </w:t>
      </w:r>
      <w:r>
        <w:tab/>
        <w:t xml:space="preserve">connectivity and skills </w:t>
      </w:r>
      <w:r>
        <w:tab/>
      </w:r>
      <w:r>
        <w:rPr>
          <w:rFonts w:ascii="Segoe UI Symbol" w:eastAsia="Segoe UI Symbol" w:hAnsi="Segoe UI Symbol" w:cs="Segoe UI Symbol"/>
        </w:rPr>
        <w:t>•</w:t>
      </w:r>
      <w:r>
        <w:t xml:space="preserve"> Championing </w:t>
      </w:r>
    </w:p>
    <w:p w14:paraId="276329E5" w14:textId="77777777" w:rsidR="003D3187" w:rsidRDefault="00000000">
      <w:pPr>
        <w:tabs>
          <w:tab w:val="center" w:pos="3422"/>
          <w:tab w:val="center" w:pos="8252"/>
        </w:tabs>
        <w:spacing w:after="10"/>
        <w:ind w:left="0" w:firstLine="0"/>
      </w:pPr>
      <w:r>
        <w:rPr>
          <w:rFonts w:ascii="Calibri" w:eastAsia="Calibri" w:hAnsi="Calibri" w:cs="Calibri"/>
          <w:sz w:val="22"/>
        </w:rPr>
        <w:tab/>
      </w:r>
      <w:r>
        <w:rPr>
          <w:b/>
        </w:rPr>
        <w:t xml:space="preserve"> </w:t>
      </w:r>
      <w:r>
        <w:rPr>
          <w:b/>
        </w:rPr>
        <w:tab/>
      </w:r>
      <w:r>
        <w:t>sustainability</w:t>
      </w:r>
      <w:r>
        <w:rPr>
          <w:b/>
        </w:rPr>
        <w:t xml:space="preserve"> </w:t>
      </w:r>
    </w:p>
    <w:p w14:paraId="224AF582" w14:textId="77777777" w:rsidR="003D3187" w:rsidRDefault="00000000">
      <w:pPr>
        <w:spacing w:after="1" w:line="262" w:lineRule="auto"/>
        <w:ind w:left="10" w:right="533" w:hanging="10"/>
      </w:pPr>
      <w:r>
        <w:rPr>
          <w:b/>
        </w:rPr>
        <w:t xml:space="preserve">If a Key Decision, state the reason: </w:t>
      </w:r>
    </w:p>
    <w:p w14:paraId="30B9425C" w14:textId="77777777" w:rsidR="003D3187" w:rsidRDefault="00000000">
      <w:pPr>
        <w:numPr>
          <w:ilvl w:val="0"/>
          <w:numId w:val="3"/>
        </w:numPr>
        <w:spacing w:after="10"/>
        <w:ind w:right="225" w:firstLine="0"/>
      </w:pPr>
      <w:r>
        <w:t xml:space="preserve">Expenditure </w:t>
      </w:r>
      <w:r>
        <w:tab/>
        <w:t xml:space="preserve"> Income </w:t>
      </w:r>
      <w:r>
        <w:tab/>
        <w:t xml:space="preserve"> Savings of £750,000 or more taking account of the </w:t>
      </w:r>
    </w:p>
    <w:p w14:paraId="4E339DDC" w14:textId="77777777" w:rsidR="003D3187" w:rsidRDefault="00000000">
      <w:pPr>
        <w:spacing w:after="10"/>
        <w:ind w:left="759" w:right="450" w:firstLine="0"/>
      </w:pPr>
      <w:r>
        <w:t xml:space="preserve">overall impact of the decision </w:t>
      </w:r>
    </w:p>
    <w:p w14:paraId="2D3BE3FB" w14:textId="77777777" w:rsidR="003D3187" w:rsidRDefault="00000000">
      <w:pPr>
        <w:numPr>
          <w:ilvl w:val="0"/>
          <w:numId w:val="3"/>
        </w:numPr>
        <w:spacing w:after="6"/>
        <w:ind w:right="225" w:firstLine="0"/>
      </w:pPr>
      <w:r>
        <w:t>Significant impact on communities living or working in two or more wards in the City</w:t>
      </w:r>
      <w:r>
        <w:rPr>
          <w:b/>
        </w:rPr>
        <w:t xml:space="preserve"> Does this report contain any information that is exempt from publication? </w:t>
      </w:r>
    </w:p>
    <w:p w14:paraId="6DA5CC9A" w14:textId="77777777" w:rsidR="003D3187" w:rsidRDefault="00000000">
      <w:pPr>
        <w:spacing w:after="1" w:line="262" w:lineRule="auto"/>
        <w:ind w:left="10" w:right="533" w:hanging="10"/>
      </w:pPr>
      <w:r>
        <w:rPr>
          <w:b/>
        </w:rPr>
        <w:t xml:space="preserve">No </w:t>
      </w:r>
    </w:p>
    <w:p w14:paraId="0CA72789" w14:textId="77777777" w:rsidR="003D3187" w:rsidRDefault="00000000">
      <w:pPr>
        <w:spacing w:after="0" w:line="259" w:lineRule="auto"/>
        <w:ind w:left="385" w:firstLine="0"/>
      </w:pPr>
      <w:r>
        <w:rPr>
          <w:b/>
        </w:rPr>
        <w:t xml:space="preserve"> </w:t>
      </w:r>
    </w:p>
    <w:p w14:paraId="03A4625A" w14:textId="77777777" w:rsidR="003D3187" w:rsidRDefault="00000000">
      <w:pPr>
        <w:spacing w:after="0" w:line="259" w:lineRule="auto"/>
        <w:ind w:left="0" w:firstLine="0"/>
      </w:pPr>
      <w:r>
        <w:rPr>
          <w:b/>
        </w:rPr>
        <w:t xml:space="preserve"> </w:t>
      </w:r>
    </w:p>
    <w:p w14:paraId="545DD748" w14:textId="77777777" w:rsidR="003D3187" w:rsidRDefault="00000000">
      <w:pPr>
        <w:spacing w:after="0" w:line="259" w:lineRule="auto"/>
        <w:ind w:left="441" w:firstLine="0"/>
      </w:pPr>
      <w:r>
        <w:t xml:space="preserve"> </w:t>
      </w:r>
    </w:p>
    <w:p w14:paraId="2F18D507" w14:textId="77777777" w:rsidR="003D3187" w:rsidRDefault="00000000">
      <w:pPr>
        <w:pStyle w:val="Heading1"/>
        <w:ind w:left="784" w:right="533"/>
      </w:pPr>
      <w:r>
        <w:t>1.</w:t>
      </w:r>
      <w:r>
        <w:rPr>
          <w:rFonts w:ascii="Calibri" w:eastAsia="Calibri" w:hAnsi="Calibri" w:cs="Calibri"/>
          <w:sz w:val="22"/>
        </w:rPr>
        <w:t xml:space="preserve"> </w:t>
      </w:r>
      <w:r>
        <w:t>Reasons for Recommendations</w:t>
      </w:r>
      <w:r>
        <w:rPr>
          <w:rFonts w:ascii="Calibri" w:eastAsia="Calibri" w:hAnsi="Calibri" w:cs="Calibri"/>
          <w:sz w:val="22"/>
        </w:rPr>
        <w:t xml:space="preserve"> </w:t>
      </w:r>
    </w:p>
    <w:p w14:paraId="66B12849" w14:textId="77777777" w:rsidR="003D3187" w:rsidRDefault="00000000">
      <w:pPr>
        <w:spacing w:after="154" w:line="259" w:lineRule="auto"/>
        <w:ind w:left="1134" w:firstLine="0"/>
      </w:pPr>
      <w:r>
        <w:rPr>
          <w:rFonts w:ascii="Calibri" w:eastAsia="Calibri" w:hAnsi="Calibri" w:cs="Calibri"/>
          <w:b/>
          <w:sz w:val="22"/>
        </w:rPr>
        <w:t xml:space="preserve"> </w:t>
      </w:r>
    </w:p>
    <w:p w14:paraId="356361F2" w14:textId="77777777" w:rsidR="003D3187" w:rsidRDefault="00000000">
      <w:pPr>
        <w:ind w:left="1336" w:right="450"/>
      </w:pPr>
      <w:r>
        <w:t xml:space="preserve">1.1 This report is the draft Medium Term Finance Plan (MTFP) for Nottingham City Council and represents the future financial trajectory of the authority as it seeks to end the use of Exceptional Financial Support (EFS) to the budget. EFS is the use of capital resources (or borrowing) to fund revenue and is only allowable with Government agreement. </w:t>
      </w:r>
    </w:p>
    <w:p w14:paraId="40B14A32" w14:textId="77777777" w:rsidR="003D3187" w:rsidRDefault="00000000">
      <w:pPr>
        <w:ind w:left="1336" w:right="450"/>
      </w:pPr>
      <w:r>
        <w:t xml:space="preserve">1.2 This paper contains the additional savings proposals developed by officers for 2026/27 to 2029/30.  Tight financial management led to 85% delivery of savings in 2024/25.  However, a larger proportion of 2025/26 savings have experienced delays and with need to move away from any dependency on exceptional financial support there is a greater need to focus on the delivery of savings and existing transformational activity rather than on starting new difficult savings initiatives. </w:t>
      </w:r>
    </w:p>
    <w:p w14:paraId="6C782C5D" w14:textId="77777777" w:rsidR="003D3187" w:rsidRDefault="00000000">
      <w:pPr>
        <w:ind w:left="1336" w:right="450"/>
      </w:pPr>
      <w:r>
        <w:t xml:space="preserve">1.3 The new savings are largely efficiency savings not policy decisions except for the Council Tax increase, dwelling rent increases and the fee and charges changes and as such, they do not have to be put out to public consultation.  Nonetheless, the council believes in the importance of transparency and intends to consult publicly on the principles behind the budget and the investment opportunities for the authority. </w:t>
      </w:r>
    </w:p>
    <w:p w14:paraId="594AE192" w14:textId="77777777" w:rsidR="003D3187" w:rsidRDefault="00000000">
      <w:pPr>
        <w:ind w:left="1336" w:right="450"/>
      </w:pPr>
      <w:r>
        <w:t xml:space="preserve">1.4 The overarching objective of our budget strategy is to ensure that the Council sets a sustainable and realistic budget over the medium term supported by robust savings delivery plans and without the need for additional government support in the form of EFS. However, it must be recognised that the Council still faces significant financial headwinds from social care.  Moreover, there is some uncertainty around Fair Funding 2.0, which was about ensuring all councils have a fair share of resources to deliver statutory services. </w:t>
      </w:r>
    </w:p>
    <w:p w14:paraId="28BC8C8F" w14:textId="77777777" w:rsidR="003D3187" w:rsidRDefault="00000000">
      <w:pPr>
        <w:ind w:left="1336" w:right="450"/>
      </w:pPr>
      <w:r>
        <w:t xml:space="preserve">1.5 As the Council seeks not only to balance its budget without EFS and the resources to invest in growth and community improvements that residents want, it needs to transform the way it delivers services and do some things differently. Ultimately, it is about achieving best value (reducing our comparator unit costs), that we can release resources to invest into those things our residents tell us are important to them. </w:t>
      </w:r>
    </w:p>
    <w:p w14:paraId="646920B7" w14:textId="77777777" w:rsidR="003D3187" w:rsidRDefault="00000000">
      <w:pPr>
        <w:spacing w:after="0"/>
        <w:ind w:left="1336" w:right="450"/>
      </w:pPr>
      <w:r>
        <w:t>1.6 In this context this report sets out the Draft General Fund Medium Term Financial Plan with the decisions upon which the council is consulting.  Capital, Treasury and the Housing Revenue Account papers will be produced separately.  The final Budget will include an integrated package of documentation and will be submitted to full council in February.</w:t>
      </w:r>
      <w:r>
        <w:rPr>
          <w:b/>
        </w:rPr>
        <w:t xml:space="preserve"> </w:t>
      </w:r>
    </w:p>
    <w:p w14:paraId="3018F35C" w14:textId="77777777" w:rsidR="003D3187" w:rsidRDefault="00000000">
      <w:pPr>
        <w:spacing w:after="138" w:line="259" w:lineRule="auto"/>
        <w:ind w:left="1344" w:firstLine="0"/>
      </w:pPr>
      <w:r>
        <w:t xml:space="preserve"> </w:t>
      </w:r>
    </w:p>
    <w:p w14:paraId="483CD2F5" w14:textId="77777777" w:rsidR="003D3187" w:rsidRDefault="00000000">
      <w:pPr>
        <w:pStyle w:val="Heading1"/>
        <w:spacing w:after="135"/>
        <w:ind w:left="784" w:right="533"/>
      </w:pPr>
      <w:r>
        <w:t xml:space="preserve">2. Background </w:t>
      </w:r>
    </w:p>
    <w:p w14:paraId="6075E63B" w14:textId="77777777" w:rsidR="003D3187" w:rsidRDefault="00000000">
      <w:pPr>
        <w:spacing w:after="0" w:line="259" w:lineRule="auto"/>
        <w:ind w:left="414" w:firstLine="0"/>
      </w:pPr>
      <w:r>
        <w:rPr>
          <w:b/>
        </w:rPr>
        <w:t xml:space="preserve"> </w:t>
      </w:r>
    </w:p>
    <w:p w14:paraId="260E4E7C" w14:textId="77777777" w:rsidR="003D3187" w:rsidRDefault="00000000">
      <w:pPr>
        <w:ind w:left="1336" w:right="450"/>
      </w:pPr>
      <w:r>
        <w:t xml:space="preserve">2.1 Whilst the council set a balanced budget in 2024/25 using £41m of EFS, it only needed £7.7m.  The 2025/26, this budget was set with a requirement of £20.8m of EFS.  In 2026/27, the intent is to extinguish the dependency on EFS entirely and the table below demonstrates the savings requirement that must be satisfied before the inevitable pressures and funding changes.  </w:t>
      </w:r>
    </w:p>
    <w:p w14:paraId="0DE5B7DA" w14:textId="77777777" w:rsidR="003D3187" w:rsidRDefault="00000000">
      <w:pPr>
        <w:pStyle w:val="Heading1"/>
        <w:ind w:left="976" w:right="533"/>
      </w:pPr>
      <w:r>
        <w:t xml:space="preserve">Table 1: Reduction in Base Budget due to removing EFS </w:t>
      </w:r>
    </w:p>
    <w:p w14:paraId="40CAE0A4" w14:textId="77777777" w:rsidR="003D3187" w:rsidRDefault="00000000">
      <w:pPr>
        <w:tabs>
          <w:tab w:val="center" w:pos="6197"/>
          <w:tab w:val="center" w:pos="7158"/>
        </w:tabs>
        <w:spacing w:after="14" w:line="259" w:lineRule="auto"/>
        <w:ind w:left="0" w:firstLine="0"/>
      </w:pPr>
      <w:r>
        <w:rPr>
          <w:rFonts w:ascii="Calibri" w:eastAsia="Calibri" w:hAnsi="Calibri" w:cs="Calibri"/>
          <w:sz w:val="22"/>
        </w:rPr>
        <w:tab/>
      </w:r>
      <w:r>
        <w:t xml:space="preserve"> </w:t>
      </w:r>
      <w:r>
        <w:tab/>
      </w:r>
      <w:r>
        <w:rPr>
          <w:b/>
        </w:rPr>
        <w:t xml:space="preserve">£m </w:t>
      </w:r>
    </w:p>
    <w:p w14:paraId="4218C121" w14:textId="77777777" w:rsidR="003D3187" w:rsidRDefault="00000000">
      <w:pPr>
        <w:tabs>
          <w:tab w:val="center" w:pos="3506"/>
          <w:tab w:val="center" w:pos="6897"/>
        </w:tabs>
        <w:spacing w:after="35"/>
        <w:ind w:left="0" w:firstLine="0"/>
      </w:pPr>
      <w:r>
        <w:rPr>
          <w:rFonts w:ascii="Calibri" w:eastAsia="Calibri" w:hAnsi="Calibri" w:cs="Calibri"/>
          <w:sz w:val="22"/>
        </w:rPr>
        <w:tab/>
      </w:r>
      <w:r>
        <w:t xml:space="preserve">Current 2025/26 Net Revenue Budget </w:t>
      </w:r>
      <w:r>
        <w:tab/>
        <w:t xml:space="preserve">352.593 </w:t>
      </w:r>
    </w:p>
    <w:p w14:paraId="4AB5E8C1" w14:textId="77777777" w:rsidR="003D3187" w:rsidRDefault="00000000">
      <w:pPr>
        <w:tabs>
          <w:tab w:val="center" w:pos="2298"/>
          <w:tab w:val="center" w:pos="6884"/>
        </w:tabs>
        <w:spacing w:after="31" w:line="259" w:lineRule="auto"/>
        <w:ind w:left="0" w:firstLine="0"/>
      </w:pPr>
      <w:r>
        <w:rPr>
          <w:rFonts w:ascii="Calibri" w:eastAsia="Calibri" w:hAnsi="Calibri" w:cs="Calibri"/>
          <w:sz w:val="22"/>
        </w:rPr>
        <w:tab/>
      </w:r>
      <w:r>
        <w:rPr>
          <w:u w:val="single" w:color="000000"/>
        </w:rPr>
        <w:t xml:space="preserve">Removing EFS </w:t>
      </w:r>
      <w:r>
        <w:rPr>
          <w:u w:val="single" w:color="000000"/>
        </w:rPr>
        <w:tab/>
        <w:t xml:space="preserve">(20.793) </w:t>
      </w:r>
    </w:p>
    <w:p w14:paraId="3FAEFED1" w14:textId="77777777" w:rsidR="003D3187" w:rsidRDefault="00000000">
      <w:pPr>
        <w:tabs>
          <w:tab w:val="center" w:pos="3285"/>
          <w:tab w:val="center" w:pos="6897"/>
        </w:tabs>
        <w:spacing w:after="2" w:line="259" w:lineRule="auto"/>
        <w:ind w:left="0" w:firstLine="0"/>
      </w:pPr>
      <w:r>
        <w:rPr>
          <w:rFonts w:ascii="Calibri" w:eastAsia="Calibri" w:hAnsi="Calibri" w:cs="Calibri"/>
          <w:sz w:val="22"/>
        </w:rPr>
        <w:tab/>
      </w:r>
      <w:r>
        <w:rPr>
          <w:u w:val="single" w:color="000000"/>
        </w:rPr>
        <w:t xml:space="preserve">Net Revenue Budget without EFS </w:t>
      </w:r>
      <w:r>
        <w:rPr>
          <w:u w:val="single" w:color="000000"/>
        </w:rPr>
        <w:tab/>
        <w:t xml:space="preserve">331.800 </w:t>
      </w:r>
    </w:p>
    <w:p w14:paraId="37727570" w14:textId="77777777" w:rsidR="003D3187" w:rsidRDefault="00000000">
      <w:pPr>
        <w:spacing w:after="0" w:line="259" w:lineRule="auto"/>
        <w:ind w:left="981" w:firstLine="0"/>
      </w:pPr>
      <w:r>
        <w:t xml:space="preserve"> </w:t>
      </w:r>
    </w:p>
    <w:p w14:paraId="3D10178A" w14:textId="77777777" w:rsidR="003D3187" w:rsidRDefault="00000000">
      <w:pPr>
        <w:ind w:left="1336" w:right="450"/>
      </w:pPr>
      <w:r>
        <w:t xml:space="preserve">2.2 There is still a savings delivery risk in the existing budget as some of the savings plans put forward in prior years were not as robust as they should have been.  As a matter of principle, where a saving has been put forward by a service, but subsequently turns out to be non-deliverable, then the requirement is that they will identify an alternative measure.  Some services have traditionally used ongoing known underspends to offset savings and part of this year’s strategy is to ensure that these underspends are captured as permanent reductions in net expenditure.  This is both important for transparency and for ensuring that all services deliver value for council taxpayer money. </w:t>
      </w:r>
    </w:p>
    <w:p w14:paraId="2D63D869" w14:textId="77777777" w:rsidR="003D3187" w:rsidRDefault="00000000">
      <w:pPr>
        <w:ind w:left="1336" w:right="450"/>
      </w:pPr>
      <w:r>
        <w:t xml:space="preserve">2.3 Due to the timing of the financial settlement taking place in December, alternative savings will be explored should the macro-economic situation require a material change in resource allocations. However, if these further potential options were not needed as expected, they could form part of the basis for future year savings or to free up revenue resources for other purposes. </w:t>
      </w:r>
    </w:p>
    <w:p w14:paraId="6A71EE5D" w14:textId="77777777" w:rsidR="003D3187" w:rsidRDefault="00000000">
      <w:pPr>
        <w:spacing w:after="0" w:line="259" w:lineRule="auto"/>
        <w:ind w:left="981" w:firstLine="0"/>
      </w:pPr>
      <w:r>
        <w:rPr>
          <w:b/>
        </w:rPr>
        <w:t xml:space="preserve"> </w:t>
      </w:r>
      <w:r>
        <w:rPr>
          <w:b/>
        </w:rPr>
        <w:tab/>
        <w:t xml:space="preserve"> </w:t>
      </w:r>
    </w:p>
    <w:p w14:paraId="2FD244CC" w14:textId="77777777" w:rsidR="003D3187" w:rsidRDefault="00000000">
      <w:pPr>
        <w:pStyle w:val="Heading1"/>
        <w:ind w:left="976" w:right="533"/>
      </w:pPr>
      <w:r>
        <w:t xml:space="preserve">Implications of Section 114 Notice </w:t>
      </w:r>
    </w:p>
    <w:p w14:paraId="30A605E0" w14:textId="77777777" w:rsidR="003D3187" w:rsidRDefault="00000000">
      <w:pPr>
        <w:spacing w:after="0" w:line="259" w:lineRule="auto"/>
        <w:ind w:left="981" w:firstLine="0"/>
      </w:pPr>
      <w:r>
        <w:t xml:space="preserve"> </w:t>
      </w:r>
    </w:p>
    <w:p w14:paraId="6C3C2BF4" w14:textId="77777777" w:rsidR="003D3187" w:rsidRDefault="00000000">
      <w:pPr>
        <w:ind w:left="1336" w:right="450"/>
      </w:pPr>
      <w:r>
        <w:t xml:space="preserve">2.4 There is a natural tendency to focus solely on the use of EFS when a Section 114 notice is served but it has wider considerations.  Moreover, this council has welcomed the input of the commissioners and notes the cooperative relationship established to support the improvement journey. It is not just the move to monthly monitoring and a more rigorous budgetary process, but a deeper analysis on service performance that has supported the council in understanding where it can achieve greater value for money.  A culture of financial management and budget holder accountability is being gradually embedded across the authority as it transitions to internally generated continual improvement.  Further work is needed on this. </w:t>
      </w:r>
    </w:p>
    <w:p w14:paraId="5B6F17B7" w14:textId="77777777" w:rsidR="003D3187" w:rsidRDefault="00000000">
      <w:pPr>
        <w:ind w:left="1336" w:right="450"/>
      </w:pPr>
      <w:r>
        <w:t xml:space="preserve">2.5 NCC has also benefitted from the opportunity afforded by having local government leading experts challenge internal practices and processes to help identify opportunities for further efficiencies and improved service.  NCC is working towards a fully balanced budget for 2026/27 and a consolidation of an already sustainable reserve position. </w:t>
      </w:r>
    </w:p>
    <w:p w14:paraId="4FEDACDC" w14:textId="77777777" w:rsidR="003D3187" w:rsidRDefault="00000000">
      <w:pPr>
        <w:ind w:left="1336" w:right="450"/>
      </w:pPr>
      <w:r>
        <w:t xml:space="preserve">2.6 Therefore, NCC is now concentrating on ensuring it is financially stable on an ongoing basis. This requires both a mature reflection of its challenges and opportunities and the development of continuous improvement plans and regular progress reviews. </w:t>
      </w:r>
    </w:p>
    <w:p w14:paraId="6C0D448B" w14:textId="77777777" w:rsidR="003D3187" w:rsidRDefault="00000000">
      <w:pPr>
        <w:pStyle w:val="Heading1"/>
        <w:ind w:left="976" w:right="533"/>
      </w:pPr>
      <w:r>
        <w:t xml:space="preserve">Economic Context </w:t>
      </w:r>
    </w:p>
    <w:p w14:paraId="540B736B" w14:textId="77777777" w:rsidR="003D3187" w:rsidRDefault="00000000">
      <w:pPr>
        <w:spacing w:after="0" w:line="259" w:lineRule="auto"/>
        <w:ind w:left="981" w:firstLine="0"/>
      </w:pPr>
      <w:r>
        <w:rPr>
          <w:b/>
        </w:rPr>
        <w:t xml:space="preserve"> </w:t>
      </w:r>
    </w:p>
    <w:p w14:paraId="5657B180" w14:textId="77777777" w:rsidR="003D3187" w:rsidRDefault="00000000">
      <w:pPr>
        <w:ind w:left="1336" w:right="450"/>
      </w:pPr>
      <w:r>
        <w:t xml:space="preserve">2.7 Both the global economy and the UK economy are relatively weak.  Combined with August inflation running at 3.8%, the UK fiscal position is challenging.  The Office of Budget Responsibility has informed the Chancellor that it will downgrade its productivity numbers. For every 0.1% reduction in UK productivity, this would increase the fiscal gap by approximately £9 billion. </w:t>
      </w:r>
    </w:p>
    <w:p w14:paraId="7D416F56" w14:textId="77777777" w:rsidR="003D3187" w:rsidRDefault="00000000">
      <w:pPr>
        <w:ind w:left="1336" w:right="450"/>
      </w:pPr>
      <w:r>
        <w:t xml:space="preserve">2.8 As long as the current UK fiscal rules are in place, this means the Chancellor would need to put forward tax rises or expenditure cuts to fill the gap. A 0.4% reduction in productivity would create a £36 billion gap.  It is not clear that the Government will be able to deliver this entirely from changes to tax unless it abandons its manifesto commitment to not raise the three largest taxes that affect working people. It is therefore possible that there will be additional saving requirements across Government departments. </w:t>
      </w:r>
    </w:p>
    <w:p w14:paraId="52592F67" w14:textId="77777777" w:rsidR="003D3187" w:rsidRDefault="00000000">
      <w:pPr>
        <w:ind w:left="1336" w:right="450"/>
      </w:pPr>
      <w:r>
        <w:t xml:space="preserve">2.9 The graph below indicates the level of volatility in all forecasts, as inflation has been volatile after a long period of extremely low levels.  These affect our contractual commitments putting pressure on revenue budgets. Equally, the Bank of England interest rates reached 5.25% for the 1st time since 2008 and has reduced to 4%. </w:t>
      </w:r>
    </w:p>
    <w:p w14:paraId="427C5151" w14:textId="77777777" w:rsidR="003D3187" w:rsidRDefault="00000000">
      <w:pPr>
        <w:spacing w:after="0" w:line="259" w:lineRule="auto"/>
        <w:ind w:left="981" w:firstLine="0"/>
      </w:pPr>
      <w:r>
        <w:rPr>
          <w:b/>
        </w:rPr>
        <w:t xml:space="preserve"> </w:t>
      </w:r>
      <w:r>
        <w:rPr>
          <w:b/>
        </w:rPr>
        <w:tab/>
        <w:t xml:space="preserve"> </w:t>
      </w:r>
    </w:p>
    <w:p w14:paraId="36487488" w14:textId="77777777" w:rsidR="003D3187" w:rsidRDefault="00000000">
      <w:pPr>
        <w:pStyle w:val="Heading1"/>
        <w:ind w:left="976" w:right="533"/>
      </w:pPr>
      <w:r>
        <w:t xml:space="preserve">Table 2: CPI Inflation (blue) versus Bank of England MPC Interest Rates (red) </w:t>
      </w:r>
    </w:p>
    <w:p w14:paraId="14AB52A9" w14:textId="77777777" w:rsidR="003D3187" w:rsidRDefault="00000000">
      <w:pPr>
        <w:spacing w:after="0" w:line="259" w:lineRule="auto"/>
        <w:ind w:left="981" w:firstLine="0"/>
      </w:pPr>
      <w:r>
        <w:rPr>
          <w:noProof/>
        </w:rPr>
        <w:drawing>
          <wp:inline distT="0" distB="0" distL="0" distR="0" wp14:anchorId="58C2D9A9" wp14:editId="4624FB0A">
            <wp:extent cx="4584700" cy="2755900"/>
            <wp:effectExtent l="0" t="0" r="0" b="0"/>
            <wp:docPr id="571" name="Picture 571"/>
            <wp:cNvGraphicFramePr/>
            <a:graphic xmlns:a="http://schemas.openxmlformats.org/drawingml/2006/main">
              <a:graphicData uri="http://schemas.openxmlformats.org/drawingml/2006/picture">
                <pic:pic xmlns:pic="http://schemas.openxmlformats.org/drawingml/2006/picture">
                  <pic:nvPicPr>
                    <pic:cNvPr id="571" name="Picture 571"/>
                    <pic:cNvPicPr/>
                  </pic:nvPicPr>
                  <pic:blipFill>
                    <a:blip r:embed="rId6"/>
                    <a:stretch>
                      <a:fillRect/>
                    </a:stretch>
                  </pic:blipFill>
                  <pic:spPr>
                    <a:xfrm>
                      <a:off x="0" y="0"/>
                      <a:ext cx="4584700" cy="2755900"/>
                    </a:xfrm>
                    <a:prstGeom prst="rect">
                      <a:avLst/>
                    </a:prstGeom>
                  </pic:spPr>
                </pic:pic>
              </a:graphicData>
            </a:graphic>
          </wp:inline>
        </w:drawing>
      </w:r>
      <w:r>
        <w:t xml:space="preserve"> </w:t>
      </w:r>
    </w:p>
    <w:p w14:paraId="0B8EDB4A" w14:textId="77777777" w:rsidR="003D3187" w:rsidRDefault="00000000">
      <w:pPr>
        <w:spacing w:after="0" w:line="259" w:lineRule="auto"/>
        <w:ind w:left="981" w:firstLine="0"/>
      </w:pPr>
      <w:r>
        <w:rPr>
          <w:b/>
        </w:rPr>
        <w:t xml:space="preserve"> </w:t>
      </w:r>
    </w:p>
    <w:p w14:paraId="027F5AB6" w14:textId="77777777" w:rsidR="003D3187" w:rsidRDefault="00000000">
      <w:pPr>
        <w:pStyle w:val="Heading1"/>
        <w:ind w:left="976" w:right="533"/>
      </w:pPr>
      <w:r>
        <w:t xml:space="preserve">Local Government Outlook &amp; Challenges </w:t>
      </w:r>
    </w:p>
    <w:p w14:paraId="6AC7ADC3" w14:textId="77777777" w:rsidR="003D3187" w:rsidRDefault="00000000">
      <w:pPr>
        <w:spacing w:after="0" w:line="259" w:lineRule="auto"/>
        <w:ind w:left="981" w:firstLine="0"/>
      </w:pPr>
      <w:r>
        <w:rPr>
          <w:b/>
        </w:rPr>
        <w:t xml:space="preserve"> </w:t>
      </w:r>
    </w:p>
    <w:p w14:paraId="09621425" w14:textId="77777777" w:rsidR="003D3187" w:rsidRDefault="00000000">
      <w:pPr>
        <w:ind w:left="1336" w:right="450"/>
      </w:pPr>
      <w:r>
        <w:t xml:space="preserve">2.10 The spending review saw the Government develop a funding envelope that would increase direct grant funding of £2.348bn between 2025/26 and 2028/29 into local government. It is important to recognise that the majority of growth in the £9.894bn core spending power change is from the assumptions that Council Tax will grow at the maximum level possible as expected by MHCLG. </w:t>
      </w:r>
    </w:p>
    <w:p w14:paraId="12AB950E" w14:textId="77777777" w:rsidR="003D3187" w:rsidRDefault="00000000">
      <w:pPr>
        <w:pStyle w:val="Heading1"/>
        <w:ind w:left="976" w:right="533"/>
      </w:pPr>
      <w:r>
        <w:t xml:space="preserve">Table 3: Projected Local Government Core Spending Power (£m) </w:t>
      </w:r>
    </w:p>
    <w:p w14:paraId="5B81E3BF" w14:textId="77777777" w:rsidR="003D3187" w:rsidRDefault="00000000">
      <w:pPr>
        <w:spacing w:after="0" w:line="259" w:lineRule="auto"/>
        <w:ind w:left="10" w:right="534" w:hanging="10"/>
        <w:jc w:val="right"/>
      </w:pPr>
      <w:r>
        <w:t xml:space="preserve">Cumulative </w:t>
      </w:r>
    </w:p>
    <w:tbl>
      <w:tblPr>
        <w:tblStyle w:val="TableGrid"/>
        <w:tblW w:w="8742" w:type="dxa"/>
        <w:tblInd w:w="1038" w:type="dxa"/>
        <w:tblCellMar>
          <w:top w:w="0" w:type="dxa"/>
          <w:left w:w="0" w:type="dxa"/>
          <w:bottom w:w="0" w:type="dxa"/>
          <w:right w:w="0" w:type="dxa"/>
        </w:tblCellMar>
        <w:tblLook w:val="04A0" w:firstRow="1" w:lastRow="0" w:firstColumn="1" w:lastColumn="0" w:noHBand="0" w:noVBand="1"/>
      </w:tblPr>
      <w:tblGrid>
        <w:gridCol w:w="2410"/>
        <w:gridCol w:w="3544"/>
        <w:gridCol w:w="2788"/>
      </w:tblGrid>
      <w:tr w:rsidR="003D3187" w14:paraId="31ADFBEC" w14:textId="77777777">
        <w:trPr>
          <w:trHeight w:val="257"/>
        </w:trPr>
        <w:tc>
          <w:tcPr>
            <w:tcW w:w="2410" w:type="dxa"/>
            <w:tcBorders>
              <w:top w:val="nil"/>
              <w:left w:val="nil"/>
              <w:bottom w:val="nil"/>
              <w:right w:val="nil"/>
            </w:tcBorders>
          </w:tcPr>
          <w:p w14:paraId="210AEFEE" w14:textId="77777777" w:rsidR="003D3187" w:rsidRDefault="00000000">
            <w:pPr>
              <w:spacing w:after="0" w:line="259" w:lineRule="auto"/>
              <w:ind w:left="0" w:firstLine="0"/>
            </w:pPr>
            <w:r>
              <w:t xml:space="preserve">Funding Source </w:t>
            </w:r>
          </w:p>
        </w:tc>
        <w:tc>
          <w:tcPr>
            <w:tcW w:w="3544" w:type="dxa"/>
            <w:tcBorders>
              <w:top w:val="nil"/>
              <w:left w:val="nil"/>
              <w:bottom w:val="nil"/>
              <w:right w:val="nil"/>
            </w:tcBorders>
          </w:tcPr>
          <w:p w14:paraId="3BA33343" w14:textId="77777777" w:rsidR="003D3187" w:rsidRDefault="00000000">
            <w:pPr>
              <w:spacing w:after="0" w:line="259" w:lineRule="auto"/>
              <w:ind w:left="0" w:firstLine="0"/>
            </w:pPr>
            <w:r>
              <w:t xml:space="preserve">2025/26 2026/27 2027/28 </w:t>
            </w:r>
          </w:p>
        </w:tc>
        <w:tc>
          <w:tcPr>
            <w:tcW w:w="2788" w:type="dxa"/>
            <w:tcBorders>
              <w:top w:val="nil"/>
              <w:left w:val="nil"/>
              <w:bottom w:val="nil"/>
              <w:right w:val="nil"/>
            </w:tcBorders>
          </w:tcPr>
          <w:p w14:paraId="7EF254D9" w14:textId="77777777" w:rsidR="003D3187" w:rsidRDefault="00000000">
            <w:pPr>
              <w:tabs>
                <w:tab w:val="right" w:pos="2788"/>
              </w:tabs>
              <w:spacing w:after="0" w:line="259" w:lineRule="auto"/>
              <w:ind w:left="0" w:firstLine="0"/>
            </w:pPr>
            <w:r>
              <w:t xml:space="preserve">2028/29 </w:t>
            </w:r>
            <w:r>
              <w:tab/>
              <w:t xml:space="preserve">Change </w:t>
            </w:r>
          </w:p>
        </w:tc>
      </w:tr>
      <w:tr w:rsidR="003D3187" w14:paraId="2ABED437" w14:textId="77777777">
        <w:trPr>
          <w:trHeight w:val="288"/>
        </w:trPr>
        <w:tc>
          <w:tcPr>
            <w:tcW w:w="2410" w:type="dxa"/>
            <w:tcBorders>
              <w:top w:val="nil"/>
              <w:left w:val="nil"/>
              <w:bottom w:val="nil"/>
              <w:right w:val="nil"/>
            </w:tcBorders>
          </w:tcPr>
          <w:p w14:paraId="7AA66692" w14:textId="77777777" w:rsidR="003D3187" w:rsidRDefault="00000000">
            <w:pPr>
              <w:spacing w:after="0" w:line="259" w:lineRule="auto"/>
              <w:ind w:left="0" w:firstLine="0"/>
            </w:pPr>
            <w:r>
              <w:t xml:space="preserve">Council Tax  </w:t>
            </w:r>
          </w:p>
        </w:tc>
        <w:tc>
          <w:tcPr>
            <w:tcW w:w="3544" w:type="dxa"/>
            <w:tcBorders>
              <w:top w:val="nil"/>
              <w:left w:val="nil"/>
              <w:bottom w:val="nil"/>
              <w:right w:val="nil"/>
            </w:tcBorders>
          </w:tcPr>
          <w:p w14:paraId="5CB9E713" w14:textId="77777777" w:rsidR="003D3187" w:rsidRDefault="00000000">
            <w:pPr>
              <w:spacing w:after="0" w:line="259" w:lineRule="auto"/>
              <w:ind w:left="0" w:firstLine="0"/>
            </w:pPr>
            <w:r>
              <w:t xml:space="preserve">   38,312     40,678     43,190  </w:t>
            </w:r>
          </w:p>
        </w:tc>
        <w:tc>
          <w:tcPr>
            <w:tcW w:w="2788" w:type="dxa"/>
            <w:tcBorders>
              <w:top w:val="nil"/>
              <w:left w:val="nil"/>
              <w:bottom w:val="nil"/>
              <w:right w:val="nil"/>
            </w:tcBorders>
          </w:tcPr>
          <w:p w14:paraId="62E29D71" w14:textId="77777777" w:rsidR="003D3187" w:rsidRDefault="00000000">
            <w:pPr>
              <w:spacing w:after="0" w:line="259" w:lineRule="auto"/>
              <w:ind w:left="0" w:firstLine="0"/>
              <w:jc w:val="both"/>
            </w:pPr>
            <w:r>
              <w:t xml:space="preserve">   45,858               7,546  </w:t>
            </w:r>
          </w:p>
        </w:tc>
      </w:tr>
      <w:tr w:rsidR="003D3187" w14:paraId="6381CF2E" w14:textId="77777777">
        <w:trPr>
          <w:trHeight w:val="568"/>
        </w:trPr>
        <w:tc>
          <w:tcPr>
            <w:tcW w:w="2410" w:type="dxa"/>
            <w:tcBorders>
              <w:top w:val="nil"/>
              <w:left w:val="nil"/>
              <w:bottom w:val="nil"/>
              <w:right w:val="nil"/>
            </w:tcBorders>
          </w:tcPr>
          <w:p w14:paraId="75E0057D" w14:textId="77777777" w:rsidR="003D3187" w:rsidRDefault="00000000">
            <w:pPr>
              <w:spacing w:after="0" w:line="259" w:lineRule="auto"/>
              <w:ind w:left="0" w:firstLine="0"/>
            </w:pPr>
            <w:r>
              <w:rPr>
                <w:u w:val="single" w:color="000000"/>
              </w:rPr>
              <w:t xml:space="preserve">Grant Funding </w:t>
            </w:r>
          </w:p>
          <w:p w14:paraId="2E3F7F80" w14:textId="77777777" w:rsidR="003D3187" w:rsidRDefault="00000000">
            <w:pPr>
              <w:spacing w:after="0" w:line="259" w:lineRule="auto"/>
              <w:ind w:left="0" w:firstLine="0"/>
            </w:pPr>
            <w:r>
              <w:rPr>
                <w:b/>
              </w:rPr>
              <w:t xml:space="preserve">Core Spending </w:t>
            </w:r>
          </w:p>
        </w:tc>
        <w:tc>
          <w:tcPr>
            <w:tcW w:w="3544" w:type="dxa"/>
            <w:tcBorders>
              <w:top w:val="nil"/>
              <w:left w:val="nil"/>
              <w:bottom w:val="nil"/>
              <w:right w:val="nil"/>
            </w:tcBorders>
          </w:tcPr>
          <w:p w14:paraId="550B2B57" w14:textId="77777777" w:rsidR="003D3187" w:rsidRDefault="00000000">
            <w:pPr>
              <w:spacing w:after="0" w:line="259" w:lineRule="auto"/>
              <w:ind w:left="0" w:firstLine="0"/>
            </w:pPr>
            <w:r>
              <w:rPr>
                <w:u w:val="single" w:color="000000"/>
              </w:rPr>
              <w:t xml:space="preserve">   31,094     32,522     32,910  </w:t>
            </w:r>
          </w:p>
        </w:tc>
        <w:tc>
          <w:tcPr>
            <w:tcW w:w="2788" w:type="dxa"/>
            <w:tcBorders>
              <w:top w:val="nil"/>
              <w:left w:val="nil"/>
              <w:bottom w:val="nil"/>
              <w:right w:val="nil"/>
            </w:tcBorders>
          </w:tcPr>
          <w:p w14:paraId="288A7A47" w14:textId="77777777" w:rsidR="003D3187" w:rsidRDefault="00000000">
            <w:pPr>
              <w:spacing w:after="0" w:line="259" w:lineRule="auto"/>
              <w:ind w:left="0" w:firstLine="0"/>
              <w:jc w:val="both"/>
            </w:pPr>
            <w:r>
              <w:rPr>
                <w:u w:val="single" w:color="000000"/>
              </w:rPr>
              <w:t xml:space="preserve">   33,442               2,348  </w:t>
            </w:r>
          </w:p>
        </w:tc>
      </w:tr>
      <w:tr w:rsidR="003D3187" w14:paraId="6553F3BD" w14:textId="77777777">
        <w:trPr>
          <w:trHeight w:val="312"/>
        </w:trPr>
        <w:tc>
          <w:tcPr>
            <w:tcW w:w="2410" w:type="dxa"/>
            <w:tcBorders>
              <w:top w:val="nil"/>
              <w:left w:val="nil"/>
              <w:bottom w:val="nil"/>
              <w:right w:val="nil"/>
            </w:tcBorders>
          </w:tcPr>
          <w:p w14:paraId="05F60C4E" w14:textId="77777777" w:rsidR="003D3187" w:rsidRDefault="00000000">
            <w:pPr>
              <w:spacing w:after="0" w:line="259" w:lineRule="auto"/>
              <w:ind w:left="0" w:firstLine="0"/>
            </w:pPr>
            <w:r>
              <w:rPr>
                <w:b/>
                <w:u w:val="single" w:color="000000"/>
              </w:rPr>
              <w:t xml:space="preserve">Power (CSP) </w:t>
            </w:r>
          </w:p>
        </w:tc>
        <w:tc>
          <w:tcPr>
            <w:tcW w:w="3544" w:type="dxa"/>
            <w:tcBorders>
              <w:top w:val="nil"/>
              <w:left w:val="nil"/>
              <w:bottom w:val="nil"/>
              <w:right w:val="nil"/>
            </w:tcBorders>
          </w:tcPr>
          <w:p w14:paraId="4B42B1BA" w14:textId="77777777" w:rsidR="003D3187" w:rsidRDefault="00000000">
            <w:pPr>
              <w:spacing w:after="0" w:line="259" w:lineRule="auto"/>
              <w:ind w:left="0" w:firstLine="0"/>
            </w:pPr>
            <w:r>
              <w:rPr>
                <w:b/>
                <w:u w:val="single" w:color="000000"/>
              </w:rPr>
              <w:t xml:space="preserve">   69,406     73,200     76,100  </w:t>
            </w:r>
          </w:p>
        </w:tc>
        <w:tc>
          <w:tcPr>
            <w:tcW w:w="2788" w:type="dxa"/>
            <w:tcBorders>
              <w:top w:val="nil"/>
              <w:left w:val="nil"/>
              <w:bottom w:val="nil"/>
              <w:right w:val="nil"/>
            </w:tcBorders>
          </w:tcPr>
          <w:p w14:paraId="58A8F88C" w14:textId="77777777" w:rsidR="003D3187" w:rsidRDefault="00000000">
            <w:pPr>
              <w:spacing w:after="0" w:line="259" w:lineRule="auto"/>
              <w:ind w:left="0" w:firstLine="0"/>
              <w:jc w:val="both"/>
            </w:pPr>
            <w:r>
              <w:rPr>
                <w:b/>
                <w:u w:val="single" w:color="000000"/>
              </w:rPr>
              <w:t xml:space="preserve">   79,300               9,894  </w:t>
            </w:r>
          </w:p>
        </w:tc>
      </w:tr>
      <w:tr w:rsidR="003D3187" w14:paraId="381DDBAB" w14:textId="77777777">
        <w:trPr>
          <w:trHeight w:val="562"/>
        </w:trPr>
        <w:tc>
          <w:tcPr>
            <w:tcW w:w="2410" w:type="dxa"/>
            <w:tcBorders>
              <w:top w:val="nil"/>
              <w:left w:val="nil"/>
              <w:bottom w:val="nil"/>
              <w:right w:val="nil"/>
            </w:tcBorders>
          </w:tcPr>
          <w:p w14:paraId="60BA948A" w14:textId="77777777" w:rsidR="003D3187" w:rsidRDefault="00000000">
            <w:pPr>
              <w:spacing w:after="0" w:line="259" w:lineRule="auto"/>
              <w:ind w:left="0" w:firstLine="0"/>
            </w:pPr>
            <w:r>
              <w:rPr>
                <w:b/>
              </w:rPr>
              <w:t xml:space="preserve"> </w:t>
            </w:r>
          </w:p>
          <w:p w14:paraId="70E16E23" w14:textId="77777777" w:rsidR="003D3187" w:rsidRDefault="00000000">
            <w:pPr>
              <w:spacing w:after="0" w:line="259" w:lineRule="auto"/>
              <w:ind w:left="0" w:firstLine="0"/>
            </w:pPr>
            <w:r>
              <w:t xml:space="preserve">% CSP Increase </w:t>
            </w:r>
          </w:p>
        </w:tc>
        <w:tc>
          <w:tcPr>
            <w:tcW w:w="3544" w:type="dxa"/>
            <w:tcBorders>
              <w:top w:val="nil"/>
              <w:left w:val="nil"/>
              <w:bottom w:val="nil"/>
              <w:right w:val="nil"/>
            </w:tcBorders>
          </w:tcPr>
          <w:p w14:paraId="134B2629" w14:textId="77777777" w:rsidR="003D3187" w:rsidRDefault="00000000">
            <w:pPr>
              <w:spacing w:after="0" w:line="259" w:lineRule="auto"/>
              <w:ind w:left="0" w:firstLine="0"/>
            </w:pPr>
            <w:r>
              <w:t xml:space="preserve"> </w:t>
            </w:r>
            <w:r>
              <w:tab/>
              <w:t xml:space="preserve"> </w:t>
            </w:r>
            <w:r>
              <w:tab/>
              <w:t xml:space="preserve"> </w:t>
            </w:r>
          </w:p>
        </w:tc>
        <w:tc>
          <w:tcPr>
            <w:tcW w:w="2788" w:type="dxa"/>
            <w:tcBorders>
              <w:top w:val="nil"/>
              <w:left w:val="nil"/>
              <w:bottom w:val="nil"/>
              <w:right w:val="nil"/>
            </w:tcBorders>
          </w:tcPr>
          <w:p w14:paraId="4503A6AC" w14:textId="77777777" w:rsidR="003D3187" w:rsidRDefault="00000000">
            <w:pPr>
              <w:spacing w:after="0" w:line="259" w:lineRule="auto"/>
              <w:ind w:left="0" w:firstLine="0"/>
            </w:pPr>
            <w:r>
              <w:t xml:space="preserve"> </w:t>
            </w:r>
            <w:r>
              <w:tab/>
              <w:t xml:space="preserve"> </w:t>
            </w:r>
          </w:p>
        </w:tc>
      </w:tr>
      <w:tr w:rsidR="003D3187" w14:paraId="6E22B8BB" w14:textId="77777777">
        <w:trPr>
          <w:trHeight w:val="302"/>
        </w:trPr>
        <w:tc>
          <w:tcPr>
            <w:tcW w:w="2410" w:type="dxa"/>
            <w:tcBorders>
              <w:top w:val="nil"/>
              <w:left w:val="nil"/>
              <w:bottom w:val="nil"/>
              <w:right w:val="nil"/>
            </w:tcBorders>
          </w:tcPr>
          <w:p w14:paraId="6C80F806" w14:textId="77777777" w:rsidR="003D3187" w:rsidRDefault="00000000">
            <w:pPr>
              <w:spacing w:after="0" w:line="259" w:lineRule="auto"/>
              <w:ind w:left="0" w:firstLine="0"/>
            </w:pPr>
            <w:r>
              <w:t xml:space="preserve">from Council Tax </w:t>
            </w:r>
          </w:p>
        </w:tc>
        <w:tc>
          <w:tcPr>
            <w:tcW w:w="6332" w:type="dxa"/>
            <w:gridSpan w:val="2"/>
            <w:tcBorders>
              <w:top w:val="nil"/>
              <w:left w:val="nil"/>
              <w:bottom w:val="nil"/>
              <w:right w:val="nil"/>
            </w:tcBorders>
          </w:tcPr>
          <w:p w14:paraId="2AB7F445" w14:textId="77777777" w:rsidR="003D3187" w:rsidRDefault="00000000">
            <w:pPr>
              <w:tabs>
                <w:tab w:val="center" w:pos="1914"/>
                <w:tab w:val="center" w:pos="3190"/>
                <w:tab w:val="center" w:pos="4324"/>
                <w:tab w:val="right" w:pos="6332"/>
              </w:tabs>
              <w:spacing w:after="0" w:line="259" w:lineRule="auto"/>
              <w:ind w:left="0" w:firstLine="0"/>
            </w:pPr>
            <w:r>
              <w:t xml:space="preserve"> </w:t>
            </w:r>
            <w:r>
              <w:tab/>
              <w:t xml:space="preserve">62% </w:t>
            </w:r>
            <w:r>
              <w:tab/>
              <w:t xml:space="preserve">87% </w:t>
            </w:r>
            <w:r>
              <w:tab/>
              <w:t xml:space="preserve">83% </w:t>
            </w:r>
            <w:r>
              <w:tab/>
              <w:t xml:space="preserve">76% </w:t>
            </w:r>
          </w:p>
        </w:tc>
      </w:tr>
    </w:tbl>
    <w:p w14:paraId="4515CA94" w14:textId="77777777" w:rsidR="003D3187" w:rsidRDefault="00000000">
      <w:pPr>
        <w:spacing w:after="0" w:line="259" w:lineRule="auto"/>
        <w:ind w:left="981" w:firstLine="0"/>
      </w:pPr>
      <w:r>
        <w:t xml:space="preserve"> </w:t>
      </w:r>
    </w:p>
    <w:p w14:paraId="7009784A" w14:textId="77777777" w:rsidR="003D3187" w:rsidRDefault="00000000">
      <w:pPr>
        <w:ind w:left="1336" w:right="450"/>
      </w:pPr>
      <w:r>
        <w:t xml:space="preserve">2.11 Local government has seen Section 114s across the country but also a gradual deterioration of reserves.  From this perspective, Nottingham City Council, despite being in external intervention, seems better placed than many of its core city comparators with its General Fund reserves growing from £220m as of 31st March 2024 to £256m as of 31st March 2025 as per the draft Accounts.  While much of these resources have restrictions around use, this reflects an overall resilience that most councils lack.  Nottingham’s deficit in 2024/25 was also the third lowest in core cities, even discounting for EFS, evidencing a gradual but sustained turnaround in its financial management. </w:t>
      </w:r>
    </w:p>
    <w:p w14:paraId="365897A2" w14:textId="77777777" w:rsidR="003D3187" w:rsidRDefault="00000000">
      <w:pPr>
        <w:spacing w:after="0" w:line="259" w:lineRule="auto"/>
        <w:ind w:left="981" w:firstLine="0"/>
      </w:pPr>
      <w:r>
        <w:rPr>
          <w:b/>
        </w:rPr>
        <w:t xml:space="preserve"> </w:t>
      </w:r>
      <w:r>
        <w:rPr>
          <w:b/>
        </w:rPr>
        <w:tab/>
        <w:t xml:space="preserve"> </w:t>
      </w:r>
    </w:p>
    <w:p w14:paraId="7FBDF94A" w14:textId="77777777" w:rsidR="003D3187" w:rsidRDefault="00000000">
      <w:pPr>
        <w:pStyle w:val="Heading1"/>
        <w:ind w:left="976" w:right="533"/>
      </w:pPr>
      <w:r>
        <w:t xml:space="preserve">Local Government Reorganisation </w:t>
      </w:r>
    </w:p>
    <w:p w14:paraId="36118B1D" w14:textId="77777777" w:rsidR="003D3187" w:rsidRDefault="00000000">
      <w:pPr>
        <w:spacing w:after="0" w:line="259" w:lineRule="auto"/>
        <w:ind w:left="981" w:firstLine="0"/>
      </w:pPr>
      <w:r>
        <w:t xml:space="preserve"> </w:t>
      </w:r>
    </w:p>
    <w:p w14:paraId="5A129B7E" w14:textId="77777777" w:rsidR="003D3187" w:rsidRDefault="00000000">
      <w:pPr>
        <w:ind w:left="1336" w:right="450"/>
      </w:pPr>
      <w:r>
        <w:t xml:space="preserve">2.12 Under the Local Government and Public Involvement in Health Act 2007, the UK Government formally invited council in two-tier areas and small neighbouring unitary authorities to submit proposals for reorganisation into unitary authorities. A number of proposals are being developed by the councils within Nottinghamshire and are due for submission 28th November for consideration by Government. </w:t>
      </w:r>
    </w:p>
    <w:p w14:paraId="16E42750" w14:textId="77777777" w:rsidR="003D3187" w:rsidRDefault="00000000">
      <w:pPr>
        <w:ind w:left="1336" w:right="450"/>
      </w:pPr>
      <w:r>
        <w:t xml:space="preserve">2.13 Despite the upfront costs and administrative complexity of breaking up, merging and creating new local government bodies, there are significant potential opportunities to exploit for the benefit of local residents.  Economies of scale, closer reflection of the city boundaries to the economic and social footprint of the city will enable services to be delivered more efficiently and effectively. </w:t>
      </w:r>
    </w:p>
    <w:p w14:paraId="49C4E92D" w14:textId="77777777" w:rsidR="003D3187" w:rsidRDefault="00000000">
      <w:pPr>
        <w:ind w:left="1336" w:right="450"/>
      </w:pPr>
      <w:r>
        <w:t xml:space="preserve">2.14 The challenges to the MTFP from Local Government Reorganisation (LGR) are three-fold: </w:t>
      </w:r>
    </w:p>
    <w:p w14:paraId="22323745" w14:textId="77777777" w:rsidR="003D3187" w:rsidRDefault="00000000">
      <w:pPr>
        <w:numPr>
          <w:ilvl w:val="0"/>
          <w:numId w:val="4"/>
        </w:numPr>
        <w:ind w:right="450" w:hanging="567"/>
      </w:pPr>
      <w:r>
        <w:t xml:space="preserve">Producing the original business case for the model.  This is partially supported by a limited amount of support from Central Government.  Nonetheless, the resource requirement is being managed within existing budgets and by officers supporting this on top of their existing workloads. </w:t>
      </w:r>
    </w:p>
    <w:p w14:paraId="7B7F1653" w14:textId="77777777" w:rsidR="003D3187" w:rsidRDefault="00000000">
      <w:pPr>
        <w:numPr>
          <w:ilvl w:val="0"/>
          <w:numId w:val="4"/>
        </w:numPr>
        <w:ind w:right="450" w:hanging="567"/>
      </w:pPr>
      <w:r>
        <w:t xml:space="preserve">Activities required to be ready to go live on Vesting Day. While some services will merge by May 2027, the majority will not.  For the new legal entity to come into being, there are a number of legal, financial and electoral requirements. Costs will likely be in the low millions of pounds for these activities. </w:t>
      </w:r>
    </w:p>
    <w:p w14:paraId="55885A33" w14:textId="77777777" w:rsidR="003D3187" w:rsidRDefault="00000000">
      <w:pPr>
        <w:numPr>
          <w:ilvl w:val="0"/>
          <w:numId w:val="4"/>
        </w:numPr>
        <w:ind w:right="450" w:hanging="567"/>
      </w:pPr>
      <w:r>
        <w:t xml:space="preserve">Development and embedding of the new operating models.  In practice, some services due to contract provisions may take several years post Vesting Day to be finalised. This is from where the majority of costs and savings will come. </w:t>
      </w:r>
    </w:p>
    <w:p w14:paraId="6AF92DAB" w14:textId="77777777" w:rsidR="003D3187" w:rsidRDefault="00000000">
      <w:pPr>
        <w:ind w:left="1336" w:right="450"/>
      </w:pPr>
      <w:r>
        <w:t xml:space="preserve">2.15 LGR costs will be funded from reserves and within existing budgets where possible. Once, detailed estimates are known, the MTFP will be updated accordingly. </w:t>
      </w:r>
    </w:p>
    <w:p w14:paraId="7459DC79" w14:textId="77777777" w:rsidR="003D3187" w:rsidRDefault="00000000">
      <w:pPr>
        <w:pStyle w:val="Heading1"/>
        <w:spacing w:after="135"/>
        <w:ind w:left="784" w:right="533"/>
      </w:pPr>
      <w:r>
        <w:t xml:space="preserve">3. Fair Funding 2.0 </w:t>
      </w:r>
    </w:p>
    <w:p w14:paraId="366C08C4" w14:textId="77777777" w:rsidR="003D3187" w:rsidRDefault="00000000">
      <w:pPr>
        <w:spacing w:after="0" w:line="259" w:lineRule="auto"/>
        <w:ind w:left="981" w:firstLine="0"/>
      </w:pPr>
      <w:r>
        <w:rPr>
          <w:b/>
        </w:rPr>
        <w:t xml:space="preserve"> </w:t>
      </w:r>
    </w:p>
    <w:p w14:paraId="699915F3" w14:textId="77777777" w:rsidR="003D3187" w:rsidRDefault="00000000">
      <w:pPr>
        <w:ind w:left="1336" w:right="450"/>
      </w:pPr>
      <w:r>
        <w:t xml:space="preserve">3.1 The Council continues to face significant future year budget pressures and uncertainty.  The Spending Review was tight but the promised reallocation of resources under Fair Funding 2.0 benefits core cities.  Nonetheless, the final results will only be known in the local government financial settlement, which, with the delay to the November Budget, is only expected to be released in December. It is also expected that a multi year settlement based on the revised allocations will provide some valued certainty for financial strategy setting. </w:t>
      </w:r>
    </w:p>
    <w:p w14:paraId="30EC07CF" w14:textId="77777777" w:rsidR="003D3187" w:rsidRDefault="00000000">
      <w:pPr>
        <w:spacing w:after="0"/>
        <w:ind w:left="1336" w:right="686"/>
      </w:pPr>
      <w:r>
        <w:t xml:space="preserve">3.2 In considering the MTFP, the council has taken a prudent approach in compiling the estimates and has not incorporated the full estimated benefit  of Fairer Funding into the base budget to reflect the uncertainty in the national economy and potential implications for the Autumn Budget. </w:t>
      </w:r>
    </w:p>
    <w:p w14:paraId="69F465B1" w14:textId="77777777" w:rsidR="003D3187" w:rsidRDefault="00000000">
      <w:pPr>
        <w:spacing w:after="0" w:line="259" w:lineRule="auto"/>
        <w:ind w:left="1344" w:firstLine="0"/>
      </w:pPr>
      <w:r>
        <w:t xml:space="preserve"> </w:t>
      </w:r>
    </w:p>
    <w:p w14:paraId="5FEE1ACE" w14:textId="77777777" w:rsidR="003D3187" w:rsidRDefault="00000000">
      <w:pPr>
        <w:ind w:left="1336" w:right="450"/>
      </w:pPr>
      <w:r>
        <w:t xml:space="preserve">3.3 It is worth noting that a £1 billion reduction in the overall funding settlement for local government has approximately a £10m impact on Nottingham’s settlement position and this would be manageable for the council in the immediate term.  Anything above a £2 billion reduction in the local government funding envelope would require a more fundamental reconsideration of the council’s financial options that would lead to additional savings proposals. Whilst this scenario might be possible, such a material change in Local Government funding is considered to be unlikely given the likely significance on service delivery impacts across the sector. </w:t>
      </w:r>
    </w:p>
    <w:p w14:paraId="4C873311" w14:textId="77777777" w:rsidR="003D3187" w:rsidRDefault="00000000">
      <w:pPr>
        <w:ind w:left="1336" w:right="450"/>
      </w:pPr>
      <w:r>
        <w:t xml:space="preserve">3.4 Table 4 below sets out the funding streams included in the estimates.  It is worth noting the vast majority of the growth in the base budget relates to the consolidation of grants previously including within the services and therefore do not represent additional resources overall.  These grants include Social Care Grant (£42.768m), Market Sustainability &amp; Improvement Fund (£6.781m), Domestic Abuse Accommodation Grant (£1.132m) or £50.681m in total. This is on top of the already rolling in and ending of existing grants (such as the £11.115m Recovery Grant and the £3.877m Employer National Insurance Contributions Grant). </w:t>
      </w:r>
    </w:p>
    <w:p w14:paraId="79BEF208" w14:textId="77777777" w:rsidR="003D3187" w:rsidRDefault="00000000">
      <w:pPr>
        <w:spacing w:after="0"/>
        <w:ind w:left="1336" w:right="450"/>
      </w:pPr>
      <w:r>
        <w:t>3.5</w:t>
      </w:r>
      <w:r>
        <w:rPr>
          <w:sz w:val="22"/>
        </w:rPr>
        <w:t xml:space="preserve"> </w:t>
      </w:r>
      <w:r>
        <w:t xml:space="preserve">Below are the indicative funding changes as identified by funding experts, Pixel, specific Government detailed announcements and council tax estimates produced internally. Pixel has built these estimates based on direct conversations with MHCLG but the Council has chosen to hold back 30% of </w:t>
      </w:r>
    </w:p>
    <w:p w14:paraId="2D581B76" w14:textId="77777777" w:rsidR="003D3187" w:rsidRDefault="00000000">
      <w:pPr>
        <w:ind w:left="1344" w:right="450" w:firstLine="0"/>
      </w:pPr>
      <w:r>
        <w:t>growth besides holding £20.574m in contingencies overall due to the scale of uncertainty. Appendix 4 explores this in more detail.</w:t>
      </w:r>
      <w:r>
        <w:rPr>
          <w:b/>
          <w:sz w:val="22"/>
        </w:rPr>
        <w:t xml:space="preserve"> </w:t>
      </w:r>
      <w:r>
        <w:rPr>
          <w:b/>
          <w:sz w:val="22"/>
        </w:rPr>
        <w:tab/>
      </w:r>
      <w:r>
        <w:rPr>
          <w:sz w:val="22"/>
        </w:rPr>
        <w:t xml:space="preserve"> </w:t>
      </w:r>
      <w:r>
        <w:br w:type="page"/>
      </w:r>
    </w:p>
    <w:p w14:paraId="28224FC4" w14:textId="77777777" w:rsidR="003D3187" w:rsidRDefault="00000000">
      <w:pPr>
        <w:pStyle w:val="Heading1"/>
        <w:ind w:left="976" w:right="533"/>
      </w:pPr>
      <w:r>
        <w:t xml:space="preserve">Table 4: Indicative Funding Changes </w:t>
      </w:r>
    </w:p>
    <w:tbl>
      <w:tblPr>
        <w:tblStyle w:val="TableGrid"/>
        <w:tblW w:w="9517" w:type="dxa"/>
        <w:tblInd w:w="987" w:type="dxa"/>
        <w:tblCellMar>
          <w:top w:w="46" w:type="dxa"/>
          <w:left w:w="56" w:type="dxa"/>
          <w:bottom w:w="0" w:type="dxa"/>
          <w:right w:w="0" w:type="dxa"/>
        </w:tblCellMar>
        <w:tblLook w:val="04A0" w:firstRow="1" w:lastRow="0" w:firstColumn="1" w:lastColumn="0" w:noHBand="0" w:noVBand="1"/>
      </w:tblPr>
      <w:tblGrid>
        <w:gridCol w:w="3448"/>
        <w:gridCol w:w="992"/>
        <w:gridCol w:w="1370"/>
        <w:gridCol w:w="1276"/>
        <w:gridCol w:w="1276"/>
        <w:gridCol w:w="1155"/>
      </w:tblGrid>
      <w:tr w:rsidR="003D3187" w14:paraId="5B4F1FF6" w14:textId="77777777">
        <w:trPr>
          <w:trHeight w:val="694"/>
        </w:trPr>
        <w:tc>
          <w:tcPr>
            <w:tcW w:w="3449" w:type="dxa"/>
            <w:tcBorders>
              <w:top w:val="single" w:sz="4" w:space="0" w:color="000000"/>
              <w:left w:val="single" w:sz="4" w:space="0" w:color="000000"/>
              <w:bottom w:val="nil"/>
              <w:right w:val="single" w:sz="4" w:space="0" w:color="000000"/>
            </w:tcBorders>
            <w:shd w:val="clear" w:color="auto" w:fill="C5E0B3"/>
            <w:vAlign w:val="center"/>
          </w:tcPr>
          <w:p w14:paraId="475ADA22" w14:textId="77777777" w:rsidR="003D3187" w:rsidRDefault="00000000">
            <w:pPr>
              <w:spacing w:after="0" w:line="259" w:lineRule="auto"/>
              <w:ind w:left="0" w:firstLine="0"/>
            </w:pPr>
            <w:r>
              <w:rPr>
                <w:sz w:val="20"/>
              </w:rPr>
              <w:t xml:space="preserve"> </w:t>
            </w:r>
          </w:p>
        </w:tc>
        <w:tc>
          <w:tcPr>
            <w:tcW w:w="992" w:type="dxa"/>
            <w:tcBorders>
              <w:top w:val="single" w:sz="4" w:space="0" w:color="000000"/>
              <w:left w:val="single" w:sz="4" w:space="0" w:color="000000"/>
              <w:bottom w:val="nil"/>
              <w:right w:val="single" w:sz="4" w:space="0" w:color="000000"/>
            </w:tcBorders>
            <w:shd w:val="clear" w:color="auto" w:fill="C5E0B3"/>
            <w:vAlign w:val="center"/>
          </w:tcPr>
          <w:p w14:paraId="036F3295" w14:textId="77777777" w:rsidR="003D3187" w:rsidRDefault="00000000">
            <w:pPr>
              <w:spacing w:after="0" w:line="259" w:lineRule="auto"/>
              <w:ind w:left="79" w:firstLine="0"/>
            </w:pPr>
            <w:r>
              <w:rPr>
                <w:b/>
                <w:sz w:val="20"/>
              </w:rPr>
              <w:t xml:space="preserve">2025/26 </w:t>
            </w:r>
          </w:p>
        </w:tc>
        <w:tc>
          <w:tcPr>
            <w:tcW w:w="1370" w:type="dxa"/>
            <w:tcBorders>
              <w:top w:val="single" w:sz="4" w:space="0" w:color="000000"/>
              <w:left w:val="single" w:sz="4" w:space="0" w:color="000000"/>
              <w:bottom w:val="nil"/>
              <w:right w:val="single" w:sz="4" w:space="0" w:color="000000"/>
            </w:tcBorders>
            <w:shd w:val="clear" w:color="auto" w:fill="C5E0B3"/>
          </w:tcPr>
          <w:p w14:paraId="5BF424A4" w14:textId="77777777" w:rsidR="003D3187" w:rsidRDefault="00000000">
            <w:pPr>
              <w:spacing w:after="0" w:line="259" w:lineRule="auto"/>
              <w:ind w:left="0" w:firstLine="0"/>
              <w:jc w:val="center"/>
            </w:pPr>
            <w:r>
              <w:rPr>
                <w:b/>
                <w:sz w:val="20"/>
              </w:rPr>
              <w:t xml:space="preserve">Uplift under current methodology </w:t>
            </w:r>
          </w:p>
        </w:tc>
        <w:tc>
          <w:tcPr>
            <w:tcW w:w="1276" w:type="dxa"/>
            <w:tcBorders>
              <w:top w:val="single" w:sz="4" w:space="0" w:color="000000"/>
              <w:left w:val="single" w:sz="4" w:space="0" w:color="000000"/>
              <w:bottom w:val="nil"/>
              <w:right w:val="single" w:sz="4" w:space="0" w:color="000000"/>
            </w:tcBorders>
            <w:shd w:val="clear" w:color="auto" w:fill="C5E0B3"/>
          </w:tcPr>
          <w:p w14:paraId="402E8F5B" w14:textId="77777777" w:rsidR="003D3187" w:rsidRDefault="00000000">
            <w:pPr>
              <w:spacing w:after="0" w:line="259" w:lineRule="auto"/>
              <w:ind w:left="0" w:firstLine="0"/>
              <w:jc w:val="center"/>
            </w:pPr>
            <w:r>
              <w:rPr>
                <w:b/>
                <w:sz w:val="20"/>
              </w:rPr>
              <w:t xml:space="preserve">2026/27 without fair funding </w:t>
            </w:r>
          </w:p>
        </w:tc>
        <w:tc>
          <w:tcPr>
            <w:tcW w:w="1276" w:type="dxa"/>
            <w:tcBorders>
              <w:top w:val="single" w:sz="4" w:space="0" w:color="000000"/>
              <w:left w:val="single" w:sz="4" w:space="0" w:color="000000"/>
              <w:bottom w:val="nil"/>
              <w:right w:val="single" w:sz="4" w:space="0" w:color="000000"/>
            </w:tcBorders>
            <w:shd w:val="clear" w:color="auto" w:fill="C5E0B3"/>
          </w:tcPr>
          <w:p w14:paraId="553E5F7D" w14:textId="77777777" w:rsidR="003D3187" w:rsidRDefault="00000000">
            <w:pPr>
              <w:spacing w:after="0" w:line="259" w:lineRule="auto"/>
              <w:ind w:left="0" w:right="56" w:firstLine="0"/>
              <w:jc w:val="center"/>
            </w:pPr>
            <w:r>
              <w:rPr>
                <w:b/>
                <w:sz w:val="20"/>
              </w:rPr>
              <w:t xml:space="preserve">Fair </w:t>
            </w:r>
          </w:p>
          <w:p w14:paraId="54E2188C" w14:textId="77777777" w:rsidR="003D3187" w:rsidRDefault="00000000">
            <w:pPr>
              <w:spacing w:after="0" w:line="259" w:lineRule="auto"/>
              <w:ind w:left="0" w:right="56" w:firstLine="0"/>
              <w:jc w:val="center"/>
            </w:pPr>
            <w:r>
              <w:rPr>
                <w:b/>
                <w:sz w:val="20"/>
              </w:rPr>
              <w:t xml:space="preserve">Funding </w:t>
            </w:r>
          </w:p>
          <w:p w14:paraId="00D4A069" w14:textId="77777777" w:rsidR="003D3187" w:rsidRDefault="00000000">
            <w:pPr>
              <w:spacing w:after="0" w:line="259" w:lineRule="auto"/>
              <w:ind w:left="160" w:firstLine="0"/>
            </w:pPr>
            <w:r>
              <w:rPr>
                <w:b/>
                <w:sz w:val="20"/>
              </w:rPr>
              <w:t xml:space="preserve">Changes </w:t>
            </w:r>
          </w:p>
        </w:tc>
        <w:tc>
          <w:tcPr>
            <w:tcW w:w="1155" w:type="dxa"/>
            <w:tcBorders>
              <w:top w:val="single" w:sz="4" w:space="0" w:color="000000"/>
              <w:left w:val="single" w:sz="4" w:space="0" w:color="000000"/>
              <w:bottom w:val="nil"/>
              <w:right w:val="single" w:sz="4" w:space="0" w:color="000000"/>
            </w:tcBorders>
            <w:shd w:val="clear" w:color="auto" w:fill="C5E0B3"/>
          </w:tcPr>
          <w:p w14:paraId="781A7EAF" w14:textId="77777777" w:rsidR="003D3187" w:rsidRDefault="00000000">
            <w:pPr>
              <w:spacing w:after="0" w:line="259" w:lineRule="auto"/>
              <w:ind w:left="0" w:right="54" w:firstLine="0"/>
              <w:jc w:val="center"/>
            </w:pPr>
            <w:r>
              <w:rPr>
                <w:b/>
                <w:sz w:val="20"/>
              </w:rPr>
              <w:t xml:space="preserve">2026/27 </w:t>
            </w:r>
          </w:p>
          <w:p w14:paraId="2B7AF5AA" w14:textId="77777777" w:rsidR="003D3187" w:rsidRDefault="00000000">
            <w:pPr>
              <w:spacing w:after="0" w:line="259" w:lineRule="auto"/>
              <w:ind w:left="94" w:firstLine="0"/>
            </w:pPr>
            <w:r>
              <w:rPr>
                <w:b/>
                <w:sz w:val="20"/>
              </w:rPr>
              <w:t xml:space="preserve">Post Fair </w:t>
            </w:r>
          </w:p>
          <w:p w14:paraId="272F43F7" w14:textId="77777777" w:rsidR="003D3187" w:rsidRDefault="00000000">
            <w:pPr>
              <w:spacing w:after="0" w:line="259" w:lineRule="auto"/>
              <w:ind w:left="128" w:firstLine="0"/>
            </w:pPr>
            <w:r>
              <w:rPr>
                <w:b/>
                <w:sz w:val="20"/>
              </w:rPr>
              <w:t xml:space="preserve">Funding </w:t>
            </w:r>
          </w:p>
        </w:tc>
      </w:tr>
      <w:tr w:rsidR="003D3187" w14:paraId="51D4A966" w14:textId="77777777">
        <w:trPr>
          <w:trHeight w:val="338"/>
        </w:trPr>
        <w:tc>
          <w:tcPr>
            <w:tcW w:w="3449" w:type="dxa"/>
            <w:tcBorders>
              <w:top w:val="nil"/>
              <w:left w:val="single" w:sz="4" w:space="0" w:color="000000"/>
              <w:bottom w:val="nil"/>
              <w:right w:val="single" w:sz="4" w:space="0" w:color="000000"/>
            </w:tcBorders>
            <w:vAlign w:val="bottom"/>
          </w:tcPr>
          <w:p w14:paraId="058A1A48" w14:textId="77777777" w:rsidR="003D3187" w:rsidRDefault="00000000">
            <w:pPr>
              <w:spacing w:after="0" w:line="259" w:lineRule="auto"/>
              <w:ind w:left="0" w:firstLine="0"/>
            </w:pPr>
            <w:r>
              <w:rPr>
                <w:sz w:val="20"/>
              </w:rPr>
              <w:t xml:space="preserve"> </w:t>
            </w:r>
          </w:p>
        </w:tc>
        <w:tc>
          <w:tcPr>
            <w:tcW w:w="992" w:type="dxa"/>
            <w:tcBorders>
              <w:top w:val="nil"/>
              <w:left w:val="single" w:sz="4" w:space="0" w:color="000000"/>
              <w:bottom w:val="nil"/>
              <w:right w:val="single" w:sz="4" w:space="0" w:color="000000"/>
            </w:tcBorders>
          </w:tcPr>
          <w:p w14:paraId="1E1EDD94" w14:textId="77777777" w:rsidR="003D3187" w:rsidRDefault="00000000">
            <w:pPr>
              <w:spacing w:after="0" w:line="259" w:lineRule="auto"/>
              <w:ind w:left="0" w:right="57" w:firstLine="0"/>
              <w:jc w:val="right"/>
            </w:pPr>
            <w:r>
              <w:rPr>
                <w:sz w:val="20"/>
              </w:rPr>
              <w:t xml:space="preserve">£m </w:t>
            </w:r>
          </w:p>
        </w:tc>
        <w:tc>
          <w:tcPr>
            <w:tcW w:w="1370" w:type="dxa"/>
            <w:tcBorders>
              <w:top w:val="nil"/>
              <w:left w:val="single" w:sz="4" w:space="0" w:color="000000"/>
              <w:bottom w:val="nil"/>
              <w:right w:val="single" w:sz="4" w:space="0" w:color="000000"/>
            </w:tcBorders>
          </w:tcPr>
          <w:p w14:paraId="21272AB1" w14:textId="77777777" w:rsidR="003D3187" w:rsidRDefault="00000000">
            <w:pPr>
              <w:spacing w:after="0" w:line="259" w:lineRule="auto"/>
              <w:ind w:left="0" w:right="57" w:firstLine="0"/>
              <w:jc w:val="right"/>
            </w:pPr>
            <w:r>
              <w:rPr>
                <w:sz w:val="20"/>
              </w:rPr>
              <w:t xml:space="preserve">£m </w:t>
            </w:r>
          </w:p>
        </w:tc>
        <w:tc>
          <w:tcPr>
            <w:tcW w:w="1276" w:type="dxa"/>
            <w:tcBorders>
              <w:top w:val="nil"/>
              <w:left w:val="single" w:sz="4" w:space="0" w:color="000000"/>
              <w:bottom w:val="nil"/>
              <w:right w:val="single" w:sz="4" w:space="0" w:color="000000"/>
            </w:tcBorders>
          </w:tcPr>
          <w:p w14:paraId="769D9D6B" w14:textId="77777777" w:rsidR="003D3187" w:rsidRDefault="00000000">
            <w:pPr>
              <w:spacing w:after="0" w:line="259" w:lineRule="auto"/>
              <w:ind w:left="0" w:right="57" w:firstLine="0"/>
              <w:jc w:val="right"/>
            </w:pPr>
            <w:r>
              <w:rPr>
                <w:sz w:val="20"/>
              </w:rPr>
              <w:t xml:space="preserve">£m </w:t>
            </w:r>
          </w:p>
        </w:tc>
        <w:tc>
          <w:tcPr>
            <w:tcW w:w="1276" w:type="dxa"/>
            <w:tcBorders>
              <w:top w:val="nil"/>
              <w:left w:val="single" w:sz="4" w:space="0" w:color="000000"/>
              <w:bottom w:val="nil"/>
              <w:right w:val="single" w:sz="4" w:space="0" w:color="000000"/>
            </w:tcBorders>
          </w:tcPr>
          <w:p w14:paraId="17ACF8E6" w14:textId="77777777" w:rsidR="003D3187" w:rsidRDefault="00000000">
            <w:pPr>
              <w:spacing w:after="0" w:line="259" w:lineRule="auto"/>
              <w:ind w:left="0" w:right="57" w:firstLine="0"/>
              <w:jc w:val="right"/>
            </w:pPr>
            <w:r>
              <w:rPr>
                <w:sz w:val="20"/>
              </w:rPr>
              <w:t xml:space="preserve">£m </w:t>
            </w:r>
          </w:p>
        </w:tc>
        <w:tc>
          <w:tcPr>
            <w:tcW w:w="1155" w:type="dxa"/>
            <w:tcBorders>
              <w:top w:val="nil"/>
              <w:left w:val="single" w:sz="4" w:space="0" w:color="000000"/>
              <w:bottom w:val="nil"/>
              <w:right w:val="single" w:sz="4" w:space="0" w:color="000000"/>
            </w:tcBorders>
          </w:tcPr>
          <w:p w14:paraId="61D5601A" w14:textId="77777777" w:rsidR="003D3187" w:rsidRDefault="00000000">
            <w:pPr>
              <w:spacing w:after="0" w:line="259" w:lineRule="auto"/>
              <w:ind w:left="0" w:right="56" w:firstLine="0"/>
              <w:jc w:val="right"/>
            </w:pPr>
            <w:r>
              <w:rPr>
                <w:sz w:val="20"/>
              </w:rPr>
              <w:t xml:space="preserve">£m </w:t>
            </w:r>
          </w:p>
        </w:tc>
      </w:tr>
      <w:tr w:rsidR="003D3187" w14:paraId="09DFB01C" w14:textId="77777777">
        <w:trPr>
          <w:trHeight w:val="288"/>
        </w:trPr>
        <w:tc>
          <w:tcPr>
            <w:tcW w:w="3449" w:type="dxa"/>
            <w:tcBorders>
              <w:top w:val="nil"/>
              <w:left w:val="single" w:sz="4" w:space="0" w:color="000000"/>
              <w:bottom w:val="nil"/>
              <w:right w:val="single" w:sz="4" w:space="0" w:color="000000"/>
            </w:tcBorders>
          </w:tcPr>
          <w:p w14:paraId="667393BB" w14:textId="77777777" w:rsidR="003D3187" w:rsidRDefault="00000000">
            <w:pPr>
              <w:spacing w:after="0" w:line="259" w:lineRule="auto"/>
              <w:ind w:left="0" w:firstLine="0"/>
            </w:pPr>
            <w:r>
              <w:rPr>
                <w:sz w:val="20"/>
              </w:rPr>
              <w:t xml:space="preserve">NNDR </w:t>
            </w:r>
          </w:p>
        </w:tc>
        <w:tc>
          <w:tcPr>
            <w:tcW w:w="992" w:type="dxa"/>
            <w:tcBorders>
              <w:top w:val="nil"/>
              <w:left w:val="single" w:sz="4" w:space="0" w:color="000000"/>
              <w:bottom w:val="nil"/>
              <w:right w:val="single" w:sz="4" w:space="0" w:color="000000"/>
            </w:tcBorders>
          </w:tcPr>
          <w:p w14:paraId="7AF7596D" w14:textId="77777777" w:rsidR="003D3187" w:rsidRDefault="00000000">
            <w:pPr>
              <w:spacing w:after="0" w:line="259" w:lineRule="auto"/>
              <w:ind w:left="0" w:right="57" w:firstLine="0"/>
              <w:jc w:val="right"/>
            </w:pPr>
            <w:r>
              <w:rPr>
                <w:sz w:val="20"/>
              </w:rPr>
              <w:t xml:space="preserve">(65.710) </w:t>
            </w:r>
          </w:p>
        </w:tc>
        <w:tc>
          <w:tcPr>
            <w:tcW w:w="1370" w:type="dxa"/>
            <w:tcBorders>
              <w:top w:val="nil"/>
              <w:left w:val="single" w:sz="4" w:space="0" w:color="000000"/>
              <w:bottom w:val="nil"/>
              <w:right w:val="single" w:sz="4" w:space="0" w:color="000000"/>
            </w:tcBorders>
          </w:tcPr>
          <w:p w14:paraId="7E2EAB65" w14:textId="77777777" w:rsidR="003D3187" w:rsidRDefault="00000000">
            <w:pPr>
              <w:spacing w:after="0" w:line="259" w:lineRule="auto"/>
              <w:ind w:left="0" w:right="57" w:firstLine="0"/>
              <w:jc w:val="right"/>
            </w:pPr>
            <w:r>
              <w:rPr>
                <w:sz w:val="20"/>
              </w:rPr>
              <w:t xml:space="preserve">(1.314) </w:t>
            </w:r>
          </w:p>
        </w:tc>
        <w:tc>
          <w:tcPr>
            <w:tcW w:w="1276" w:type="dxa"/>
            <w:tcBorders>
              <w:top w:val="nil"/>
              <w:left w:val="single" w:sz="4" w:space="0" w:color="000000"/>
              <w:bottom w:val="nil"/>
              <w:right w:val="single" w:sz="4" w:space="0" w:color="000000"/>
            </w:tcBorders>
          </w:tcPr>
          <w:p w14:paraId="5F724B2F" w14:textId="77777777" w:rsidR="003D3187" w:rsidRDefault="00000000">
            <w:pPr>
              <w:spacing w:after="0" w:line="259" w:lineRule="auto"/>
              <w:ind w:left="0" w:right="57" w:firstLine="0"/>
              <w:jc w:val="right"/>
            </w:pPr>
            <w:r>
              <w:rPr>
                <w:sz w:val="20"/>
              </w:rPr>
              <w:t xml:space="preserve">(67.024) </w:t>
            </w:r>
          </w:p>
        </w:tc>
        <w:tc>
          <w:tcPr>
            <w:tcW w:w="1276" w:type="dxa"/>
            <w:tcBorders>
              <w:top w:val="nil"/>
              <w:left w:val="single" w:sz="4" w:space="0" w:color="000000"/>
              <w:bottom w:val="nil"/>
              <w:right w:val="single" w:sz="4" w:space="0" w:color="000000"/>
            </w:tcBorders>
          </w:tcPr>
          <w:p w14:paraId="3EBB2FE7" w14:textId="77777777" w:rsidR="003D3187" w:rsidRDefault="00000000">
            <w:pPr>
              <w:spacing w:after="0" w:line="259" w:lineRule="auto"/>
              <w:ind w:left="0" w:right="57" w:firstLine="0"/>
              <w:jc w:val="right"/>
            </w:pPr>
            <w:r>
              <w:rPr>
                <w:sz w:val="20"/>
              </w:rPr>
              <w:t xml:space="preserve">(2.995) </w:t>
            </w:r>
          </w:p>
        </w:tc>
        <w:tc>
          <w:tcPr>
            <w:tcW w:w="1155" w:type="dxa"/>
            <w:tcBorders>
              <w:top w:val="nil"/>
              <w:left w:val="single" w:sz="4" w:space="0" w:color="000000"/>
              <w:bottom w:val="nil"/>
              <w:right w:val="single" w:sz="4" w:space="0" w:color="000000"/>
            </w:tcBorders>
          </w:tcPr>
          <w:p w14:paraId="2E2984FD" w14:textId="77777777" w:rsidR="003D3187" w:rsidRDefault="00000000">
            <w:pPr>
              <w:spacing w:after="0" w:line="259" w:lineRule="auto"/>
              <w:ind w:left="0" w:right="56" w:firstLine="0"/>
              <w:jc w:val="right"/>
            </w:pPr>
            <w:r>
              <w:rPr>
                <w:sz w:val="20"/>
              </w:rPr>
              <w:t xml:space="preserve">(70.019) </w:t>
            </w:r>
          </w:p>
        </w:tc>
      </w:tr>
      <w:tr w:rsidR="003D3187" w14:paraId="590603E4" w14:textId="77777777">
        <w:trPr>
          <w:trHeight w:val="288"/>
        </w:trPr>
        <w:tc>
          <w:tcPr>
            <w:tcW w:w="3449" w:type="dxa"/>
            <w:tcBorders>
              <w:top w:val="nil"/>
              <w:left w:val="single" w:sz="4" w:space="0" w:color="000000"/>
              <w:bottom w:val="nil"/>
              <w:right w:val="single" w:sz="4" w:space="0" w:color="000000"/>
            </w:tcBorders>
          </w:tcPr>
          <w:p w14:paraId="6573DF9C" w14:textId="77777777" w:rsidR="003D3187" w:rsidRDefault="00000000">
            <w:pPr>
              <w:spacing w:after="0" w:line="259" w:lineRule="auto"/>
              <w:ind w:left="0" w:firstLine="0"/>
            </w:pPr>
            <w:r>
              <w:rPr>
                <w:sz w:val="20"/>
              </w:rPr>
              <w:t xml:space="preserve">Top Up Grant </w:t>
            </w:r>
          </w:p>
        </w:tc>
        <w:tc>
          <w:tcPr>
            <w:tcW w:w="992" w:type="dxa"/>
            <w:tcBorders>
              <w:top w:val="nil"/>
              <w:left w:val="single" w:sz="4" w:space="0" w:color="000000"/>
              <w:bottom w:val="nil"/>
              <w:right w:val="single" w:sz="4" w:space="0" w:color="000000"/>
            </w:tcBorders>
          </w:tcPr>
          <w:p w14:paraId="295661C7" w14:textId="77777777" w:rsidR="003D3187" w:rsidRDefault="00000000">
            <w:pPr>
              <w:spacing w:after="0" w:line="259" w:lineRule="auto"/>
              <w:ind w:left="0" w:right="57" w:firstLine="0"/>
              <w:jc w:val="right"/>
            </w:pPr>
            <w:r>
              <w:rPr>
                <w:sz w:val="20"/>
              </w:rPr>
              <w:t xml:space="preserve">(38.037) </w:t>
            </w:r>
          </w:p>
        </w:tc>
        <w:tc>
          <w:tcPr>
            <w:tcW w:w="1370" w:type="dxa"/>
            <w:tcBorders>
              <w:top w:val="nil"/>
              <w:left w:val="single" w:sz="4" w:space="0" w:color="000000"/>
              <w:bottom w:val="nil"/>
              <w:right w:val="single" w:sz="4" w:space="0" w:color="000000"/>
            </w:tcBorders>
          </w:tcPr>
          <w:p w14:paraId="71F1DDAA" w14:textId="77777777" w:rsidR="003D3187" w:rsidRDefault="00000000">
            <w:pPr>
              <w:spacing w:after="0" w:line="259" w:lineRule="auto"/>
              <w:ind w:left="0" w:right="57" w:firstLine="0"/>
              <w:jc w:val="right"/>
            </w:pPr>
            <w:r>
              <w:rPr>
                <w:sz w:val="20"/>
              </w:rPr>
              <w:t xml:space="preserve">(0.761) </w:t>
            </w:r>
          </w:p>
        </w:tc>
        <w:tc>
          <w:tcPr>
            <w:tcW w:w="1276" w:type="dxa"/>
            <w:tcBorders>
              <w:top w:val="nil"/>
              <w:left w:val="single" w:sz="4" w:space="0" w:color="000000"/>
              <w:bottom w:val="nil"/>
              <w:right w:val="single" w:sz="4" w:space="0" w:color="000000"/>
            </w:tcBorders>
          </w:tcPr>
          <w:p w14:paraId="66D1C2CF" w14:textId="77777777" w:rsidR="003D3187" w:rsidRDefault="00000000">
            <w:pPr>
              <w:spacing w:after="0" w:line="259" w:lineRule="auto"/>
              <w:ind w:left="0" w:right="57" w:firstLine="0"/>
              <w:jc w:val="right"/>
            </w:pPr>
            <w:r>
              <w:rPr>
                <w:sz w:val="20"/>
              </w:rPr>
              <w:t xml:space="preserve">(38.798) </w:t>
            </w:r>
          </w:p>
        </w:tc>
        <w:tc>
          <w:tcPr>
            <w:tcW w:w="1276" w:type="dxa"/>
            <w:tcBorders>
              <w:top w:val="nil"/>
              <w:left w:val="single" w:sz="4" w:space="0" w:color="000000"/>
              <w:bottom w:val="nil"/>
              <w:right w:val="single" w:sz="4" w:space="0" w:color="000000"/>
            </w:tcBorders>
          </w:tcPr>
          <w:p w14:paraId="182B6960" w14:textId="77777777" w:rsidR="003D3187" w:rsidRDefault="00000000">
            <w:pPr>
              <w:spacing w:after="0" w:line="259" w:lineRule="auto"/>
              <w:ind w:left="0" w:right="57" w:firstLine="0"/>
              <w:jc w:val="right"/>
            </w:pPr>
            <w:r>
              <w:rPr>
                <w:sz w:val="20"/>
              </w:rPr>
              <w:t xml:space="preserve">5.398 </w:t>
            </w:r>
          </w:p>
        </w:tc>
        <w:tc>
          <w:tcPr>
            <w:tcW w:w="1155" w:type="dxa"/>
            <w:tcBorders>
              <w:top w:val="nil"/>
              <w:left w:val="single" w:sz="4" w:space="0" w:color="000000"/>
              <w:bottom w:val="nil"/>
              <w:right w:val="single" w:sz="4" w:space="0" w:color="000000"/>
            </w:tcBorders>
          </w:tcPr>
          <w:p w14:paraId="54764A1C" w14:textId="77777777" w:rsidR="003D3187" w:rsidRDefault="00000000">
            <w:pPr>
              <w:spacing w:after="0" w:line="259" w:lineRule="auto"/>
              <w:ind w:left="0" w:right="56" w:firstLine="0"/>
              <w:jc w:val="right"/>
            </w:pPr>
            <w:r>
              <w:rPr>
                <w:sz w:val="20"/>
              </w:rPr>
              <w:t xml:space="preserve">(33.400) </w:t>
            </w:r>
          </w:p>
        </w:tc>
      </w:tr>
      <w:tr w:rsidR="003D3187" w14:paraId="1640DE33" w14:textId="77777777">
        <w:trPr>
          <w:trHeight w:val="288"/>
        </w:trPr>
        <w:tc>
          <w:tcPr>
            <w:tcW w:w="3449" w:type="dxa"/>
            <w:tcBorders>
              <w:top w:val="nil"/>
              <w:left w:val="single" w:sz="4" w:space="0" w:color="000000"/>
              <w:bottom w:val="nil"/>
              <w:right w:val="single" w:sz="4" w:space="0" w:color="000000"/>
            </w:tcBorders>
          </w:tcPr>
          <w:p w14:paraId="56D014FF" w14:textId="77777777" w:rsidR="003D3187" w:rsidRDefault="00000000">
            <w:pPr>
              <w:spacing w:after="0" w:line="259" w:lineRule="auto"/>
              <w:ind w:left="0" w:firstLine="0"/>
            </w:pPr>
            <w:r>
              <w:rPr>
                <w:sz w:val="20"/>
              </w:rPr>
              <w:t xml:space="preserve">Revenue Support Grant </w:t>
            </w:r>
          </w:p>
        </w:tc>
        <w:tc>
          <w:tcPr>
            <w:tcW w:w="992" w:type="dxa"/>
            <w:tcBorders>
              <w:top w:val="nil"/>
              <w:left w:val="single" w:sz="4" w:space="0" w:color="000000"/>
              <w:bottom w:val="nil"/>
              <w:right w:val="single" w:sz="4" w:space="0" w:color="000000"/>
            </w:tcBorders>
          </w:tcPr>
          <w:p w14:paraId="07C26C4F" w14:textId="77777777" w:rsidR="003D3187" w:rsidRDefault="00000000">
            <w:pPr>
              <w:spacing w:after="0" w:line="259" w:lineRule="auto"/>
              <w:ind w:left="0" w:right="57" w:firstLine="0"/>
              <w:jc w:val="right"/>
            </w:pPr>
            <w:r>
              <w:rPr>
                <w:sz w:val="20"/>
              </w:rPr>
              <w:t xml:space="preserve">(32.685) </w:t>
            </w:r>
          </w:p>
        </w:tc>
        <w:tc>
          <w:tcPr>
            <w:tcW w:w="1370" w:type="dxa"/>
            <w:tcBorders>
              <w:top w:val="nil"/>
              <w:left w:val="single" w:sz="4" w:space="0" w:color="000000"/>
              <w:bottom w:val="nil"/>
              <w:right w:val="single" w:sz="4" w:space="0" w:color="000000"/>
            </w:tcBorders>
          </w:tcPr>
          <w:p w14:paraId="48C1B4DE" w14:textId="77777777" w:rsidR="003D3187" w:rsidRDefault="00000000">
            <w:pPr>
              <w:spacing w:after="0" w:line="259" w:lineRule="auto"/>
              <w:ind w:left="0" w:right="57" w:firstLine="0"/>
              <w:jc w:val="right"/>
            </w:pPr>
            <w:r>
              <w:rPr>
                <w:sz w:val="20"/>
              </w:rPr>
              <w:t xml:space="preserve">(11.769) </w:t>
            </w:r>
          </w:p>
        </w:tc>
        <w:tc>
          <w:tcPr>
            <w:tcW w:w="1276" w:type="dxa"/>
            <w:tcBorders>
              <w:top w:val="nil"/>
              <w:left w:val="single" w:sz="4" w:space="0" w:color="000000"/>
              <w:bottom w:val="nil"/>
              <w:right w:val="single" w:sz="4" w:space="0" w:color="000000"/>
            </w:tcBorders>
          </w:tcPr>
          <w:p w14:paraId="4A447BE5" w14:textId="77777777" w:rsidR="003D3187" w:rsidRDefault="00000000">
            <w:pPr>
              <w:spacing w:after="0" w:line="259" w:lineRule="auto"/>
              <w:ind w:left="0" w:right="57" w:firstLine="0"/>
              <w:jc w:val="right"/>
            </w:pPr>
            <w:r>
              <w:rPr>
                <w:sz w:val="20"/>
              </w:rPr>
              <w:t xml:space="preserve">(44.454) </w:t>
            </w:r>
          </w:p>
        </w:tc>
        <w:tc>
          <w:tcPr>
            <w:tcW w:w="1276" w:type="dxa"/>
            <w:tcBorders>
              <w:top w:val="nil"/>
              <w:left w:val="single" w:sz="4" w:space="0" w:color="000000"/>
              <w:bottom w:val="nil"/>
              <w:right w:val="single" w:sz="4" w:space="0" w:color="000000"/>
            </w:tcBorders>
          </w:tcPr>
          <w:p w14:paraId="4051D277" w14:textId="77777777" w:rsidR="003D3187" w:rsidRDefault="00000000">
            <w:pPr>
              <w:spacing w:after="0" w:line="259" w:lineRule="auto"/>
              <w:ind w:left="0" w:right="57" w:firstLine="0"/>
              <w:jc w:val="right"/>
            </w:pPr>
            <w:r>
              <w:rPr>
                <w:sz w:val="20"/>
              </w:rPr>
              <w:t xml:space="preserve">(111.550) </w:t>
            </w:r>
          </w:p>
        </w:tc>
        <w:tc>
          <w:tcPr>
            <w:tcW w:w="1155" w:type="dxa"/>
            <w:tcBorders>
              <w:top w:val="nil"/>
              <w:left w:val="single" w:sz="4" w:space="0" w:color="000000"/>
              <w:bottom w:val="nil"/>
              <w:right w:val="single" w:sz="4" w:space="0" w:color="000000"/>
            </w:tcBorders>
          </w:tcPr>
          <w:p w14:paraId="1E03E3A4" w14:textId="77777777" w:rsidR="003D3187" w:rsidRDefault="00000000">
            <w:pPr>
              <w:spacing w:after="0" w:line="259" w:lineRule="auto"/>
              <w:ind w:left="0" w:right="56" w:firstLine="0"/>
              <w:jc w:val="right"/>
            </w:pPr>
            <w:r>
              <w:rPr>
                <w:sz w:val="20"/>
              </w:rPr>
              <w:t xml:space="preserve">(156.004) </w:t>
            </w:r>
          </w:p>
        </w:tc>
      </w:tr>
      <w:tr w:rsidR="003D3187" w14:paraId="39772EC5" w14:textId="77777777">
        <w:trPr>
          <w:trHeight w:val="288"/>
        </w:trPr>
        <w:tc>
          <w:tcPr>
            <w:tcW w:w="3449" w:type="dxa"/>
            <w:tcBorders>
              <w:top w:val="nil"/>
              <w:left w:val="single" w:sz="4" w:space="0" w:color="000000"/>
              <w:bottom w:val="nil"/>
              <w:right w:val="single" w:sz="4" w:space="0" w:color="000000"/>
            </w:tcBorders>
          </w:tcPr>
          <w:p w14:paraId="51991947" w14:textId="77777777" w:rsidR="003D3187" w:rsidRDefault="00000000">
            <w:pPr>
              <w:spacing w:after="0" w:line="259" w:lineRule="auto"/>
              <w:ind w:left="0" w:firstLine="0"/>
            </w:pPr>
            <w:r>
              <w:rPr>
                <w:sz w:val="20"/>
              </w:rPr>
              <w:t xml:space="preserve">S.31 Reliefs </w:t>
            </w:r>
          </w:p>
        </w:tc>
        <w:tc>
          <w:tcPr>
            <w:tcW w:w="992" w:type="dxa"/>
            <w:tcBorders>
              <w:top w:val="nil"/>
              <w:left w:val="single" w:sz="4" w:space="0" w:color="000000"/>
              <w:bottom w:val="nil"/>
              <w:right w:val="single" w:sz="4" w:space="0" w:color="000000"/>
            </w:tcBorders>
          </w:tcPr>
          <w:p w14:paraId="796B8EF5" w14:textId="77777777" w:rsidR="003D3187" w:rsidRDefault="00000000">
            <w:pPr>
              <w:spacing w:after="0" w:line="259" w:lineRule="auto"/>
              <w:ind w:left="0" w:right="57" w:firstLine="0"/>
              <w:jc w:val="right"/>
            </w:pPr>
            <w:r>
              <w:rPr>
                <w:sz w:val="20"/>
              </w:rPr>
              <w:t xml:space="preserve">(30.818) </w:t>
            </w:r>
          </w:p>
        </w:tc>
        <w:tc>
          <w:tcPr>
            <w:tcW w:w="1370" w:type="dxa"/>
            <w:tcBorders>
              <w:top w:val="nil"/>
              <w:left w:val="single" w:sz="4" w:space="0" w:color="000000"/>
              <w:bottom w:val="nil"/>
              <w:right w:val="single" w:sz="4" w:space="0" w:color="000000"/>
            </w:tcBorders>
          </w:tcPr>
          <w:p w14:paraId="2E5848DD" w14:textId="77777777" w:rsidR="003D3187" w:rsidRDefault="00000000">
            <w:pPr>
              <w:spacing w:after="0" w:line="259" w:lineRule="auto"/>
              <w:ind w:left="0" w:right="57" w:firstLine="0"/>
              <w:jc w:val="right"/>
            </w:pPr>
            <w:r>
              <w:rPr>
                <w:sz w:val="20"/>
              </w:rPr>
              <w:t xml:space="preserve">(0.616) </w:t>
            </w:r>
          </w:p>
        </w:tc>
        <w:tc>
          <w:tcPr>
            <w:tcW w:w="1276" w:type="dxa"/>
            <w:tcBorders>
              <w:top w:val="nil"/>
              <w:left w:val="single" w:sz="4" w:space="0" w:color="000000"/>
              <w:bottom w:val="nil"/>
              <w:right w:val="single" w:sz="4" w:space="0" w:color="000000"/>
            </w:tcBorders>
          </w:tcPr>
          <w:p w14:paraId="0BF00381" w14:textId="77777777" w:rsidR="003D3187" w:rsidRDefault="00000000">
            <w:pPr>
              <w:spacing w:after="0" w:line="259" w:lineRule="auto"/>
              <w:ind w:left="0" w:right="57" w:firstLine="0"/>
              <w:jc w:val="right"/>
            </w:pPr>
            <w:r>
              <w:rPr>
                <w:sz w:val="20"/>
              </w:rPr>
              <w:t xml:space="preserve">(31.434) </w:t>
            </w:r>
          </w:p>
        </w:tc>
        <w:tc>
          <w:tcPr>
            <w:tcW w:w="1276" w:type="dxa"/>
            <w:tcBorders>
              <w:top w:val="nil"/>
              <w:left w:val="single" w:sz="4" w:space="0" w:color="000000"/>
              <w:bottom w:val="nil"/>
              <w:right w:val="single" w:sz="4" w:space="0" w:color="000000"/>
            </w:tcBorders>
          </w:tcPr>
          <w:p w14:paraId="11C32EB4" w14:textId="77777777" w:rsidR="003D3187" w:rsidRDefault="00000000">
            <w:pPr>
              <w:spacing w:after="0" w:line="259" w:lineRule="auto"/>
              <w:ind w:left="0" w:right="57" w:firstLine="0"/>
              <w:jc w:val="right"/>
            </w:pPr>
            <w:r>
              <w:rPr>
                <w:sz w:val="20"/>
              </w:rPr>
              <w:t xml:space="preserve">27.168 </w:t>
            </w:r>
          </w:p>
        </w:tc>
        <w:tc>
          <w:tcPr>
            <w:tcW w:w="1155" w:type="dxa"/>
            <w:tcBorders>
              <w:top w:val="nil"/>
              <w:left w:val="single" w:sz="4" w:space="0" w:color="000000"/>
              <w:bottom w:val="nil"/>
              <w:right w:val="single" w:sz="4" w:space="0" w:color="000000"/>
            </w:tcBorders>
          </w:tcPr>
          <w:p w14:paraId="07E363C5" w14:textId="77777777" w:rsidR="003D3187" w:rsidRDefault="00000000">
            <w:pPr>
              <w:spacing w:after="0" w:line="259" w:lineRule="auto"/>
              <w:ind w:left="0" w:right="56" w:firstLine="0"/>
              <w:jc w:val="right"/>
            </w:pPr>
            <w:r>
              <w:rPr>
                <w:sz w:val="20"/>
              </w:rPr>
              <w:t xml:space="preserve">(4.266) </w:t>
            </w:r>
          </w:p>
        </w:tc>
      </w:tr>
      <w:tr w:rsidR="003D3187" w14:paraId="6B0C188E" w14:textId="77777777">
        <w:trPr>
          <w:trHeight w:val="243"/>
        </w:trPr>
        <w:tc>
          <w:tcPr>
            <w:tcW w:w="3449" w:type="dxa"/>
            <w:vMerge w:val="restart"/>
            <w:tcBorders>
              <w:top w:val="nil"/>
              <w:left w:val="single" w:sz="4" w:space="0" w:color="000000"/>
              <w:bottom w:val="nil"/>
              <w:right w:val="single" w:sz="4" w:space="0" w:color="000000"/>
            </w:tcBorders>
          </w:tcPr>
          <w:p w14:paraId="2C4A09DE" w14:textId="77777777" w:rsidR="003D3187" w:rsidRDefault="00000000">
            <w:pPr>
              <w:spacing w:after="50" w:line="259" w:lineRule="auto"/>
              <w:ind w:left="0" w:firstLine="0"/>
            </w:pPr>
            <w:r>
              <w:rPr>
                <w:sz w:val="20"/>
              </w:rPr>
              <w:t xml:space="preserve">Risk Adjustment Factor </w:t>
            </w:r>
          </w:p>
          <w:p w14:paraId="2F695C5F" w14:textId="77777777" w:rsidR="003D3187" w:rsidRDefault="00000000">
            <w:pPr>
              <w:spacing w:after="92" w:line="259" w:lineRule="auto"/>
              <w:ind w:left="0" w:firstLine="0"/>
            </w:pPr>
            <w:r>
              <w:rPr>
                <w:b/>
                <w:sz w:val="20"/>
              </w:rPr>
              <w:t xml:space="preserve">Non-Council Tax </w:t>
            </w:r>
          </w:p>
          <w:p w14:paraId="7809705D" w14:textId="77777777" w:rsidR="003D3187" w:rsidRDefault="00000000">
            <w:pPr>
              <w:spacing w:after="0" w:line="259" w:lineRule="auto"/>
              <w:ind w:left="0" w:firstLine="0"/>
            </w:pPr>
            <w:r>
              <w:rPr>
                <w:sz w:val="20"/>
              </w:rPr>
              <w:t xml:space="preserve"> </w:t>
            </w:r>
          </w:p>
          <w:p w14:paraId="1D28A768" w14:textId="77777777" w:rsidR="003D3187" w:rsidRDefault="00000000">
            <w:pPr>
              <w:spacing w:after="0" w:line="259" w:lineRule="auto"/>
              <w:ind w:left="0" w:firstLine="0"/>
            </w:pPr>
            <w:r>
              <w:rPr>
                <w:sz w:val="20"/>
              </w:rPr>
              <w:t xml:space="preserve">Council Tax </w:t>
            </w:r>
          </w:p>
        </w:tc>
        <w:tc>
          <w:tcPr>
            <w:tcW w:w="992" w:type="dxa"/>
            <w:tcBorders>
              <w:top w:val="nil"/>
              <w:left w:val="single" w:sz="4" w:space="0" w:color="000000"/>
              <w:bottom w:val="single" w:sz="4" w:space="0" w:color="000000"/>
              <w:right w:val="single" w:sz="4" w:space="0" w:color="000000"/>
            </w:tcBorders>
            <w:vAlign w:val="bottom"/>
          </w:tcPr>
          <w:p w14:paraId="3BAB11EE" w14:textId="77777777" w:rsidR="003D3187" w:rsidRDefault="00000000">
            <w:pPr>
              <w:spacing w:after="0" w:line="259" w:lineRule="auto"/>
              <w:ind w:left="1" w:firstLine="0"/>
            </w:pPr>
            <w:r>
              <w:rPr>
                <w:sz w:val="20"/>
              </w:rPr>
              <w:t xml:space="preserve"> </w:t>
            </w:r>
          </w:p>
        </w:tc>
        <w:tc>
          <w:tcPr>
            <w:tcW w:w="1370" w:type="dxa"/>
            <w:tcBorders>
              <w:top w:val="nil"/>
              <w:left w:val="single" w:sz="4" w:space="0" w:color="000000"/>
              <w:bottom w:val="single" w:sz="4" w:space="0" w:color="000000"/>
              <w:right w:val="single" w:sz="4" w:space="0" w:color="000000"/>
            </w:tcBorders>
            <w:vAlign w:val="bottom"/>
          </w:tcPr>
          <w:p w14:paraId="2CDBA670" w14:textId="77777777" w:rsidR="003D3187" w:rsidRDefault="00000000">
            <w:pPr>
              <w:spacing w:after="0" w:line="259" w:lineRule="auto"/>
              <w:ind w:left="1" w:firstLine="0"/>
            </w:pPr>
            <w:r>
              <w:rPr>
                <w:sz w:val="20"/>
              </w:rPr>
              <w:t xml:space="preserve"> </w:t>
            </w:r>
          </w:p>
        </w:tc>
        <w:tc>
          <w:tcPr>
            <w:tcW w:w="1276" w:type="dxa"/>
            <w:tcBorders>
              <w:top w:val="nil"/>
              <w:left w:val="single" w:sz="4" w:space="0" w:color="000000"/>
              <w:bottom w:val="single" w:sz="4" w:space="0" w:color="000000"/>
              <w:right w:val="single" w:sz="4" w:space="0" w:color="000000"/>
            </w:tcBorders>
            <w:vAlign w:val="bottom"/>
          </w:tcPr>
          <w:p w14:paraId="018CDB67" w14:textId="77777777" w:rsidR="003D3187" w:rsidRDefault="00000000">
            <w:pPr>
              <w:spacing w:after="0" w:line="259" w:lineRule="auto"/>
              <w:ind w:left="1" w:firstLine="0"/>
            </w:pPr>
            <w:r>
              <w:rPr>
                <w:sz w:val="20"/>
              </w:rPr>
              <w:t xml:space="preserve"> </w:t>
            </w:r>
          </w:p>
        </w:tc>
        <w:tc>
          <w:tcPr>
            <w:tcW w:w="1276" w:type="dxa"/>
            <w:tcBorders>
              <w:top w:val="nil"/>
              <w:left w:val="single" w:sz="4" w:space="0" w:color="000000"/>
              <w:bottom w:val="single" w:sz="4" w:space="0" w:color="000000"/>
              <w:right w:val="single" w:sz="4" w:space="0" w:color="000000"/>
            </w:tcBorders>
          </w:tcPr>
          <w:p w14:paraId="13C9A130" w14:textId="77777777" w:rsidR="003D3187" w:rsidRDefault="00000000">
            <w:pPr>
              <w:spacing w:after="0" w:line="259" w:lineRule="auto"/>
              <w:ind w:left="0" w:right="57" w:firstLine="0"/>
              <w:jc w:val="right"/>
            </w:pPr>
            <w:r>
              <w:rPr>
                <w:sz w:val="20"/>
              </w:rPr>
              <w:t xml:space="preserve">9.033 </w:t>
            </w:r>
          </w:p>
        </w:tc>
        <w:tc>
          <w:tcPr>
            <w:tcW w:w="1155" w:type="dxa"/>
            <w:tcBorders>
              <w:top w:val="nil"/>
              <w:left w:val="single" w:sz="4" w:space="0" w:color="000000"/>
              <w:bottom w:val="single" w:sz="4" w:space="0" w:color="000000"/>
              <w:right w:val="single" w:sz="4" w:space="0" w:color="000000"/>
            </w:tcBorders>
          </w:tcPr>
          <w:p w14:paraId="39396CB4" w14:textId="77777777" w:rsidR="003D3187" w:rsidRDefault="00000000">
            <w:pPr>
              <w:spacing w:after="0" w:line="259" w:lineRule="auto"/>
              <w:ind w:left="0" w:right="56" w:firstLine="0"/>
              <w:jc w:val="right"/>
            </w:pPr>
            <w:r>
              <w:rPr>
                <w:sz w:val="20"/>
              </w:rPr>
              <w:t xml:space="preserve">9.033 </w:t>
            </w:r>
          </w:p>
        </w:tc>
      </w:tr>
      <w:tr w:rsidR="003D3187" w14:paraId="754E7B7F" w14:textId="77777777">
        <w:trPr>
          <w:trHeight w:val="298"/>
        </w:trPr>
        <w:tc>
          <w:tcPr>
            <w:tcW w:w="0" w:type="auto"/>
            <w:vMerge/>
            <w:tcBorders>
              <w:top w:val="nil"/>
              <w:left w:val="single" w:sz="4" w:space="0" w:color="000000"/>
              <w:bottom w:val="nil"/>
              <w:right w:val="single" w:sz="4" w:space="0" w:color="000000"/>
            </w:tcBorders>
          </w:tcPr>
          <w:p w14:paraId="4A16FBF7" w14:textId="77777777" w:rsidR="003D3187" w:rsidRDefault="003D3187">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vAlign w:val="bottom"/>
          </w:tcPr>
          <w:p w14:paraId="6ECD20A6" w14:textId="77777777" w:rsidR="003D3187" w:rsidRDefault="00000000">
            <w:pPr>
              <w:spacing w:after="0" w:line="259" w:lineRule="auto"/>
              <w:ind w:left="23" w:firstLine="0"/>
              <w:jc w:val="both"/>
            </w:pPr>
            <w:r>
              <w:rPr>
                <w:sz w:val="20"/>
              </w:rPr>
              <w:t xml:space="preserve">(167.250) </w:t>
            </w:r>
          </w:p>
        </w:tc>
        <w:tc>
          <w:tcPr>
            <w:tcW w:w="1370" w:type="dxa"/>
            <w:tcBorders>
              <w:top w:val="single" w:sz="4" w:space="0" w:color="000000"/>
              <w:left w:val="single" w:sz="4" w:space="0" w:color="000000"/>
              <w:bottom w:val="single" w:sz="4" w:space="0" w:color="000000"/>
              <w:right w:val="single" w:sz="4" w:space="0" w:color="000000"/>
            </w:tcBorders>
            <w:vAlign w:val="bottom"/>
          </w:tcPr>
          <w:p w14:paraId="4E6A6C0D" w14:textId="77777777" w:rsidR="003D3187" w:rsidRDefault="00000000">
            <w:pPr>
              <w:spacing w:after="0" w:line="259" w:lineRule="auto"/>
              <w:ind w:left="0" w:right="57" w:firstLine="0"/>
              <w:jc w:val="right"/>
            </w:pPr>
            <w:r>
              <w:rPr>
                <w:sz w:val="20"/>
              </w:rPr>
              <w:t xml:space="preserve">(14.460) </w:t>
            </w:r>
          </w:p>
        </w:tc>
        <w:tc>
          <w:tcPr>
            <w:tcW w:w="1276" w:type="dxa"/>
            <w:tcBorders>
              <w:top w:val="single" w:sz="4" w:space="0" w:color="000000"/>
              <w:left w:val="single" w:sz="4" w:space="0" w:color="000000"/>
              <w:bottom w:val="single" w:sz="4" w:space="0" w:color="000000"/>
              <w:right w:val="single" w:sz="4" w:space="0" w:color="000000"/>
            </w:tcBorders>
            <w:vAlign w:val="bottom"/>
          </w:tcPr>
          <w:p w14:paraId="63C0105A" w14:textId="77777777" w:rsidR="003D3187" w:rsidRDefault="00000000">
            <w:pPr>
              <w:spacing w:after="0" w:line="259" w:lineRule="auto"/>
              <w:ind w:left="0" w:right="57" w:firstLine="0"/>
              <w:jc w:val="right"/>
            </w:pPr>
            <w:r>
              <w:rPr>
                <w:sz w:val="20"/>
              </w:rPr>
              <w:t xml:space="preserve">(181.710) </w:t>
            </w:r>
          </w:p>
        </w:tc>
        <w:tc>
          <w:tcPr>
            <w:tcW w:w="1276" w:type="dxa"/>
            <w:tcBorders>
              <w:top w:val="single" w:sz="4" w:space="0" w:color="000000"/>
              <w:left w:val="single" w:sz="4" w:space="0" w:color="000000"/>
              <w:bottom w:val="single" w:sz="4" w:space="0" w:color="000000"/>
              <w:right w:val="single" w:sz="4" w:space="0" w:color="000000"/>
            </w:tcBorders>
            <w:vAlign w:val="bottom"/>
          </w:tcPr>
          <w:p w14:paraId="5A404088" w14:textId="77777777" w:rsidR="003D3187" w:rsidRDefault="00000000">
            <w:pPr>
              <w:spacing w:after="0" w:line="259" w:lineRule="auto"/>
              <w:ind w:left="0" w:right="57" w:firstLine="0"/>
              <w:jc w:val="right"/>
            </w:pPr>
            <w:r>
              <w:rPr>
                <w:sz w:val="20"/>
              </w:rPr>
              <w:t xml:space="preserve">(72.946) </w:t>
            </w:r>
          </w:p>
        </w:tc>
        <w:tc>
          <w:tcPr>
            <w:tcW w:w="1155" w:type="dxa"/>
            <w:tcBorders>
              <w:top w:val="single" w:sz="4" w:space="0" w:color="000000"/>
              <w:left w:val="single" w:sz="4" w:space="0" w:color="000000"/>
              <w:bottom w:val="single" w:sz="4" w:space="0" w:color="000000"/>
              <w:right w:val="single" w:sz="4" w:space="0" w:color="000000"/>
            </w:tcBorders>
            <w:vAlign w:val="bottom"/>
          </w:tcPr>
          <w:p w14:paraId="6DF89A90" w14:textId="77777777" w:rsidR="003D3187" w:rsidRDefault="00000000">
            <w:pPr>
              <w:spacing w:after="0" w:line="259" w:lineRule="auto"/>
              <w:ind w:left="0" w:right="56" w:firstLine="0"/>
              <w:jc w:val="right"/>
            </w:pPr>
            <w:r>
              <w:rPr>
                <w:sz w:val="20"/>
              </w:rPr>
              <w:t xml:space="preserve">(254.656) </w:t>
            </w:r>
          </w:p>
        </w:tc>
      </w:tr>
      <w:tr w:rsidR="003D3187" w14:paraId="2675AAE5" w14:textId="77777777">
        <w:trPr>
          <w:trHeight w:val="631"/>
        </w:trPr>
        <w:tc>
          <w:tcPr>
            <w:tcW w:w="0" w:type="auto"/>
            <w:vMerge/>
            <w:tcBorders>
              <w:top w:val="nil"/>
              <w:left w:val="single" w:sz="4" w:space="0" w:color="000000"/>
              <w:bottom w:val="nil"/>
              <w:right w:val="single" w:sz="4" w:space="0" w:color="000000"/>
            </w:tcBorders>
          </w:tcPr>
          <w:p w14:paraId="5EE4BAA2" w14:textId="77777777" w:rsidR="003D3187" w:rsidRDefault="003D3187">
            <w:pPr>
              <w:spacing w:after="160" w:line="259" w:lineRule="auto"/>
              <w:ind w:left="0" w:firstLine="0"/>
            </w:pPr>
          </w:p>
        </w:tc>
        <w:tc>
          <w:tcPr>
            <w:tcW w:w="992" w:type="dxa"/>
            <w:tcBorders>
              <w:top w:val="single" w:sz="4" w:space="0" w:color="000000"/>
              <w:left w:val="single" w:sz="4" w:space="0" w:color="000000"/>
              <w:bottom w:val="nil"/>
              <w:right w:val="single" w:sz="4" w:space="0" w:color="000000"/>
            </w:tcBorders>
          </w:tcPr>
          <w:p w14:paraId="07D8D0AA" w14:textId="77777777" w:rsidR="003D3187" w:rsidRDefault="00000000">
            <w:pPr>
              <w:spacing w:after="0" w:line="259" w:lineRule="auto"/>
              <w:ind w:left="1" w:firstLine="0"/>
            </w:pPr>
            <w:r>
              <w:rPr>
                <w:sz w:val="20"/>
              </w:rPr>
              <w:t xml:space="preserve"> </w:t>
            </w:r>
          </w:p>
          <w:p w14:paraId="23C9CE3F" w14:textId="77777777" w:rsidR="003D3187" w:rsidRDefault="00000000">
            <w:pPr>
              <w:spacing w:after="0" w:line="259" w:lineRule="auto"/>
              <w:ind w:left="23" w:firstLine="0"/>
              <w:jc w:val="both"/>
            </w:pPr>
            <w:r>
              <w:rPr>
                <w:sz w:val="20"/>
              </w:rPr>
              <w:t xml:space="preserve">(160.805) </w:t>
            </w:r>
          </w:p>
        </w:tc>
        <w:tc>
          <w:tcPr>
            <w:tcW w:w="1370" w:type="dxa"/>
            <w:tcBorders>
              <w:top w:val="single" w:sz="4" w:space="0" w:color="000000"/>
              <w:left w:val="single" w:sz="4" w:space="0" w:color="000000"/>
              <w:bottom w:val="nil"/>
              <w:right w:val="single" w:sz="4" w:space="0" w:color="000000"/>
            </w:tcBorders>
          </w:tcPr>
          <w:p w14:paraId="0FF9FB1D" w14:textId="77777777" w:rsidR="003D3187" w:rsidRDefault="00000000">
            <w:pPr>
              <w:spacing w:after="0" w:line="259" w:lineRule="auto"/>
              <w:ind w:left="1" w:firstLine="0"/>
            </w:pPr>
            <w:r>
              <w:rPr>
                <w:sz w:val="20"/>
              </w:rPr>
              <w:t xml:space="preserve"> </w:t>
            </w:r>
          </w:p>
          <w:p w14:paraId="0423522B" w14:textId="77777777" w:rsidR="003D3187" w:rsidRDefault="00000000">
            <w:pPr>
              <w:spacing w:after="0" w:line="259" w:lineRule="auto"/>
              <w:ind w:left="0" w:right="57" w:firstLine="0"/>
              <w:jc w:val="right"/>
            </w:pPr>
            <w:r>
              <w:rPr>
                <w:sz w:val="20"/>
              </w:rPr>
              <w:t xml:space="preserve">(1.269) </w:t>
            </w:r>
          </w:p>
        </w:tc>
        <w:tc>
          <w:tcPr>
            <w:tcW w:w="1276" w:type="dxa"/>
            <w:tcBorders>
              <w:top w:val="single" w:sz="4" w:space="0" w:color="000000"/>
              <w:left w:val="single" w:sz="4" w:space="0" w:color="000000"/>
              <w:bottom w:val="nil"/>
              <w:right w:val="single" w:sz="4" w:space="0" w:color="000000"/>
            </w:tcBorders>
          </w:tcPr>
          <w:p w14:paraId="5A13EBCC" w14:textId="77777777" w:rsidR="003D3187" w:rsidRDefault="00000000">
            <w:pPr>
              <w:spacing w:after="0" w:line="259" w:lineRule="auto"/>
              <w:ind w:left="1" w:firstLine="0"/>
            </w:pPr>
            <w:r>
              <w:rPr>
                <w:sz w:val="20"/>
              </w:rPr>
              <w:t xml:space="preserve"> </w:t>
            </w:r>
          </w:p>
          <w:p w14:paraId="4949E972" w14:textId="77777777" w:rsidR="003D3187" w:rsidRDefault="00000000">
            <w:pPr>
              <w:spacing w:after="0" w:line="259" w:lineRule="auto"/>
              <w:ind w:left="0" w:right="57" w:firstLine="0"/>
              <w:jc w:val="right"/>
            </w:pPr>
            <w:r>
              <w:rPr>
                <w:sz w:val="20"/>
              </w:rPr>
              <w:t xml:space="preserve">(162.074) </w:t>
            </w:r>
          </w:p>
        </w:tc>
        <w:tc>
          <w:tcPr>
            <w:tcW w:w="1276" w:type="dxa"/>
            <w:tcBorders>
              <w:top w:val="single" w:sz="4" w:space="0" w:color="000000"/>
              <w:left w:val="single" w:sz="4" w:space="0" w:color="000000"/>
              <w:bottom w:val="nil"/>
              <w:right w:val="single" w:sz="4" w:space="0" w:color="000000"/>
            </w:tcBorders>
            <w:vAlign w:val="bottom"/>
          </w:tcPr>
          <w:p w14:paraId="338D8951" w14:textId="77777777" w:rsidR="003D3187" w:rsidRDefault="00000000">
            <w:pPr>
              <w:spacing w:after="40" w:line="259" w:lineRule="auto"/>
              <w:ind w:left="1" w:firstLine="0"/>
            </w:pPr>
            <w:r>
              <w:rPr>
                <w:sz w:val="20"/>
              </w:rPr>
              <w:t xml:space="preserve"> </w:t>
            </w:r>
          </w:p>
          <w:p w14:paraId="57D9A62A" w14:textId="77777777" w:rsidR="003D3187" w:rsidRDefault="00000000">
            <w:pPr>
              <w:spacing w:after="0" w:line="259" w:lineRule="auto"/>
              <w:ind w:left="0" w:right="1" w:firstLine="0"/>
              <w:jc w:val="right"/>
            </w:pPr>
            <w:r>
              <w:rPr>
                <w:sz w:val="20"/>
              </w:rPr>
              <w:t xml:space="preserve"> </w:t>
            </w:r>
          </w:p>
        </w:tc>
        <w:tc>
          <w:tcPr>
            <w:tcW w:w="1155" w:type="dxa"/>
            <w:tcBorders>
              <w:top w:val="single" w:sz="4" w:space="0" w:color="000000"/>
              <w:left w:val="single" w:sz="4" w:space="0" w:color="000000"/>
              <w:bottom w:val="nil"/>
              <w:right w:val="single" w:sz="4" w:space="0" w:color="000000"/>
            </w:tcBorders>
          </w:tcPr>
          <w:p w14:paraId="53C88CDF" w14:textId="77777777" w:rsidR="003D3187" w:rsidRDefault="00000000">
            <w:pPr>
              <w:spacing w:after="0" w:line="259" w:lineRule="auto"/>
              <w:ind w:left="1" w:firstLine="0"/>
            </w:pPr>
            <w:r>
              <w:rPr>
                <w:sz w:val="20"/>
              </w:rPr>
              <w:t xml:space="preserve"> </w:t>
            </w:r>
          </w:p>
          <w:p w14:paraId="4FD12B44" w14:textId="77777777" w:rsidR="003D3187" w:rsidRDefault="00000000">
            <w:pPr>
              <w:spacing w:after="0" w:line="259" w:lineRule="auto"/>
              <w:ind w:left="0" w:right="56" w:firstLine="0"/>
              <w:jc w:val="right"/>
            </w:pPr>
            <w:r>
              <w:rPr>
                <w:sz w:val="20"/>
              </w:rPr>
              <w:t xml:space="preserve">(162.074) </w:t>
            </w:r>
          </w:p>
        </w:tc>
      </w:tr>
      <w:tr w:rsidR="003D3187" w14:paraId="0EC98D51" w14:textId="77777777">
        <w:trPr>
          <w:trHeight w:val="288"/>
        </w:trPr>
        <w:tc>
          <w:tcPr>
            <w:tcW w:w="3449" w:type="dxa"/>
            <w:tcBorders>
              <w:top w:val="nil"/>
              <w:left w:val="single" w:sz="4" w:space="0" w:color="000000"/>
              <w:bottom w:val="nil"/>
              <w:right w:val="single" w:sz="4" w:space="0" w:color="000000"/>
            </w:tcBorders>
          </w:tcPr>
          <w:p w14:paraId="0B29C8D8" w14:textId="77777777" w:rsidR="003D3187" w:rsidRDefault="00000000">
            <w:pPr>
              <w:spacing w:after="0" w:line="259" w:lineRule="auto"/>
              <w:ind w:left="0" w:firstLine="0"/>
            </w:pPr>
            <w:r>
              <w:rPr>
                <w:sz w:val="20"/>
              </w:rPr>
              <w:t xml:space="preserve">CTAX Increase </w:t>
            </w:r>
          </w:p>
        </w:tc>
        <w:tc>
          <w:tcPr>
            <w:tcW w:w="992" w:type="dxa"/>
            <w:tcBorders>
              <w:top w:val="nil"/>
              <w:left w:val="single" w:sz="4" w:space="0" w:color="000000"/>
              <w:bottom w:val="nil"/>
              <w:right w:val="single" w:sz="4" w:space="0" w:color="000000"/>
            </w:tcBorders>
          </w:tcPr>
          <w:p w14:paraId="5D0ABC0B" w14:textId="77777777" w:rsidR="003D3187" w:rsidRDefault="00000000">
            <w:pPr>
              <w:spacing w:after="0" w:line="259" w:lineRule="auto"/>
              <w:ind w:left="1" w:firstLine="0"/>
            </w:pPr>
            <w:r>
              <w:rPr>
                <w:sz w:val="20"/>
              </w:rPr>
              <w:t xml:space="preserve"> </w:t>
            </w:r>
          </w:p>
        </w:tc>
        <w:tc>
          <w:tcPr>
            <w:tcW w:w="1370" w:type="dxa"/>
            <w:tcBorders>
              <w:top w:val="nil"/>
              <w:left w:val="single" w:sz="4" w:space="0" w:color="000000"/>
              <w:bottom w:val="nil"/>
              <w:right w:val="single" w:sz="4" w:space="0" w:color="000000"/>
            </w:tcBorders>
          </w:tcPr>
          <w:p w14:paraId="7FDCC6F6" w14:textId="77777777" w:rsidR="003D3187" w:rsidRDefault="00000000">
            <w:pPr>
              <w:spacing w:after="0" w:line="259" w:lineRule="auto"/>
              <w:ind w:left="0" w:right="57" w:firstLine="0"/>
              <w:jc w:val="right"/>
            </w:pPr>
            <w:r>
              <w:rPr>
                <w:sz w:val="20"/>
              </w:rPr>
              <w:t xml:space="preserve">(8.088) </w:t>
            </w:r>
          </w:p>
        </w:tc>
        <w:tc>
          <w:tcPr>
            <w:tcW w:w="1276" w:type="dxa"/>
            <w:tcBorders>
              <w:top w:val="nil"/>
              <w:left w:val="single" w:sz="4" w:space="0" w:color="000000"/>
              <w:bottom w:val="nil"/>
              <w:right w:val="single" w:sz="4" w:space="0" w:color="000000"/>
            </w:tcBorders>
          </w:tcPr>
          <w:p w14:paraId="53C9CAD2" w14:textId="77777777" w:rsidR="003D3187" w:rsidRDefault="00000000">
            <w:pPr>
              <w:spacing w:after="0" w:line="259" w:lineRule="auto"/>
              <w:ind w:left="0" w:right="57" w:firstLine="0"/>
              <w:jc w:val="right"/>
            </w:pPr>
            <w:r>
              <w:rPr>
                <w:sz w:val="20"/>
              </w:rPr>
              <w:t xml:space="preserve">(8.088) </w:t>
            </w:r>
          </w:p>
        </w:tc>
        <w:tc>
          <w:tcPr>
            <w:tcW w:w="1276" w:type="dxa"/>
            <w:tcBorders>
              <w:top w:val="nil"/>
              <w:left w:val="single" w:sz="4" w:space="0" w:color="000000"/>
              <w:bottom w:val="nil"/>
              <w:right w:val="single" w:sz="4" w:space="0" w:color="000000"/>
            </w:tcBorders>
          </w:tcPr>
          <w:p w14:paraId="7F76B313" w14:textId="77777777" w:rsidR="003D3187" w:rsidRDefault="00000000">
            <w:pPr>
              <w:spacing w:after="0" w:line="259" w:lineRule="auto"/>
              <w:ind w:left="0" w:right="1" w:firstLine="0"/>
              <w:jc w:val="right"/>
            </w:pPr>
            <w:r>
              <w:rPr>
                <w:sz w:val="20"/>
              </w:rPr>
              <w:t xml:space="preserve"> </w:t>
            </w:r>
          </w:p>
        </w:tc>
        <w:tc>
          <w:tcPr>
            <w:tcW w:w="1155" w:type="dxa"/>
            <w:tcBorders>
              <w:top w:val="nil"/>
              <w:left w:val="single" w:sz="4" w:space="0" w:color="000000"/>
              <w:bottom w:val="nil"/>
              <w:right w:val="single" w:sz="4" w:space="0" w:color="000000"/>
            </w:tcBorders>
          </w:tcPr>
          <w:p w14:paraId="07C0E979" w14:textId="77777777" w:rsidR="003D3187" w:rsidRDefault="00000000">
            <w:pPr>
              <w:spacing w:after="0" w:line="259" w:lineRule="auto"/>
              <w:ind w:left="0" w:right="56" w:firstLine="0"/>
              <w:jc w:val="right"/>
            </w:pPr>
            <w:r>
              <w:rPr>
                <w:sz w:val="20"/>
              </w:rPr>
              <w:t xml:space="preserve">(8.088) </w:t>
            </w:r>
          </w:p>
        </w:tc>
      </w:tr>
      <w:tr w:rsidR="003D3187" w14:paraId="1F2DB223" w14:textId="77777777">
        <w:trPr>
          <w:trHeight w:val="288"/>
        </w:trPr>
        <w:tc>
          <w:tcPr>
            <w:tcW w:w="3449" w:type="dxa"/>
            <w:tcBorders>
              <w:top w:val="nil"/>
              <w:left w:val="single" w:sz="4" w:space="0" w:color="000000"/>
              <w:bottom w:val="nil"/>
              <w:right w:val="single" w:sz="4" w:space="0" w:color="000000"/>
            </w:tcBorders>
          </w:tcPr>
          <w:p w14:paraId="653F2567" w14:textId="77777777" w:rsidR="003D3187" w:rsidRDefault="00000000">
            <w:pPr>
              <w:spacing w:after="0" w:line="259" w:lineRule="auto"/>
              <w:ind w:left="0" w:firstLine="0"/>
            </w:pPr>
            <w:r>
              <w:rPr>
                <w:sz w:val="20"/>
              </w:rPr>
              <w:t xml:space="preserve">CTAX Surplus </w:t>
            </w:r>
          </w:p>
        </w:tc>
        <w:tc>
          <w:tcPr>
            <w:tcW w:w="992" w:type="dxa"/>
            <w:tcBorders>
              <w:top w:val="nil"/>
              <w:left w:val="single" w:sz="4" w:space="0" w:color="000000"/>
              <w:bottom w:val="nil"/>
              <w:right w:val="single" w:sz="4" w:space="0" w:color="000000"/>
            </w:tcBorders>
          </w:tcPr>
          <w:p w14:paraId="428ADD79" w14:textId="77777777" w:rsidR="003D3187" w:rsidRDefault="00000000">
            <w:pPr>
              <w:spacing w:after="0" w:line="259" w:lineRule="auto"/>
              <w:ind w:left="0" w:right="57" w:firstLine="0"/>
              <w:jc w:val="right"/>
            </w:pPr>
            <w:r>
              <w:rPr>
                <w:sz w:val="20"/>
              </w:rPr>
              <w:t xml:space="preserve">(2.333) </w:t>
            </w:r>
          </w:p>
        </w:tc>
        <w:tc>
          <w:tcPr>
            <w:tcW w:w="1370" w:type="dxa"/>
            <w:tcBorders>
              <w:top w:val="nil"/>
              <w:left w:val="single" w:sz="4" w:space="0" w:color="000000"/>
              <w:bottom w:val="nil"/>
              <w:right w:val="single" w:sz="4" w:space="0" w:color="000000"/>
            </w:tcBorders>
          </w:tcPr>
          <w:p w14:paraId="645F4ADD" w14:textId="77777777" w:rsidR="003D3187" w:rsidRDefault="00000000">
            <w:pPr>
              <w:spacing w:after="0" w:line="259" w:lineRule="auto"/>
              <w:ind w:left="0" w:right="57" w:firstLine="0"/>
              <w:jc w:val="right"/>
            </w:pPr>
            <w:r>
              <w:rPr>
                <w:sz w:val="20"/>
              </w:rPr>
              <w:t xml:space="preserve">2.333 </w:t>
            </w:r>
          </w:p>
        </w:tc>
        <w:tc>
          <w:tcPr>
            <w:tcW w:w="1276" w:type="dxa"/>
            <w:tcBorders>
              <w:top w:val="nil"/>
              <w:left w:val="single" w:sz="4" w:space="0" w:color="000000"/>
              <w:bottom w:val="nil"/>
              <w:right w:val="single" w:sz="4" w:space="0" w:color="000000"/>
            </w:tcBorders>
          </w:tcPr>
          <w:p w14:paraId="36C7ED4F" w14:textId="77777777" w:rsidR="003D3187" w:rsidRDefault="00000000">
            <w:pPr>
              <w:spacing w:after="0" w:line="259" w:lineRule="auto"/>
              <w:ind w:left="0" w:right="57" w:firstLine="0"/>
              <w:jc w:val="right"/>
            </w:pPr>
            <w:r>
              <w:rPr>
                <w:sz w:val="20"/>
              </w:rPr>
              <w:t xml:space="preserve">0.000 </w:t>
            </w:r>
          </w:p>
        </w:tc>
        <w:tc>
          <w:tcPr>
            <w:tcW w:w="1276" w:type="dxa"/>
            <w:tcBorders>
              <w:top w:val="nil"/>
              <w:left w:val="single" w:sz="4" w:space="0" w:color="000000"/>
              <w:bottom w:val="nil"/>
              <w:right w:val="single" w:sz="4" w:space="0" w:color="000000"/>
            </w:tcBorders>
          </w:tcPr>
          <w:p w14:paraId="2EE7AE31" w14:textId="77777777" w:rsidR="003D3187" w:rsidRDefault="00000000">
            <w:pPr>
              <w:spacing w:after="0" w:line="259" w:lineRule="auto"/>
              <w:ind w:left="0" w:right="1" w:firstLine="0"/>
              <w:jc w:val="right"/>
            </w:pPr>
            <w:r>
              <w:rPr>
                <w:sz w:val="20"/>
              </w:rPr>
              <w:t xml:space="preserve"> </w:t>
            </w:r>
          </w:p>
        </w:tc>
        <w:tc>
          <w:tcPr>
            <w:tcW w:w="1155" w:type="dxa"/>
            <w:tcBorders>
              <w:top w:val="nil"/>
              <w:left w:val="single" w:sz="4" w:space="0" w:color="000000"/>
              <w:bottom w:val="nil"/>
              <w:right w:val="single" w:sz="4" w:space="0" w:color="000000"/>
            </w:tcBorders>
          </w:tcPr>
          <w:p w14:paraId="09125403" w14:textId="77777777" w:rsidR="003D3187" w:rsidRDefault="00000000">
            <w:pPr>
              <w:spacing w:after="0" w:line="259" w:lineRule="auto"/>
              <w:ind w:left="0" w:right="56" w:firstLine="0"/>
              <w:jc w:val="right"/>
            </w:pPr>
            <w:r>
              <w:rPr>
                <w:sz w:val="20"/>
              </w:rPr>
              <w:t xml:space="preserve">0.000 </w:t>
            </w:r>
          </w:p>
        </w:tc>
      </w:tr>
      <w:tr w:rsidR="003D3187" w14:paraId="07A59303" w14:textId="77777777">
        <w:trPr>
          <w:trHeight w:val="243"/>
        </w:trPr>
        <w:tc>
          <w:tcPr>
            <w:tcW w:w="3449" w:type="dxa"/>
            <w:vMerge w:val="restart"/>
            <w:tcBorders>
              <w:top w:val="nil"/>
              <w:left w:val="single" w:sz="4" w:space="0" w:color="000000"/>
              <w:bottom w:val="nil"/>
              <w:right w:val="single" w:sz="4" w:space="0" w:color="000000"/>
            </w:tcBorders>
          </w:tcPr>
          <w:p w14:paraId="3717A149" w14:textId="77777777" w:rsidR="003D3187" w:rsidRDefault="00000000">
            <w:pPr>
              <w:spacing w:after="50" w:line="259" w:lineRule="auto"/>
              <w:ind w:left="0" w:firstLine="0"/>
            </w:pPr>
            <w:r>
              <w:rPr>
                <w:sz w:val="20"/>
              </w:rPr>
              <w:t xml:space="preserve">NNDR Deficit </w:t>
            </w:r>
          </w:p>
          <w:p w14:paraId="20934CAE" w14:textId="77777777" w:rsidR="003D3187" w:rsidRDefault="00000000">
            <w:pPr>
              <w:spacing w:after="92" w:line="259" w:lineRule="auto"/>
              <w:ind w:left="0" w:firstLine="0"/>
            </w:pPr>
            <w:r>
              <w:rPr>
                <w:b/>
                <w:sz w:val="20"/>
              </w:rPr>
              <w:t xml:space="preserve">Council Tax &amp; Collection Fund </w:t>
            </w:r>
          </w:p>
          <w:p w14:paraId="4DF17CE9" w14:textId="77777777" w:rsidR="003D3187" w:rsidRDefault="00000000">
            <w:pPr>
              <w:spacing w:after="0" w:line="259" w:lineRule="auto"/>
              <w:ind w:left="0" w:firstLine="0"/>
            </w:pPr>
            <w:r>
              <w:rPr>
                <w:b/>
                <w:sz w:val="20"/>
              </w:rPr>
              <w:t xml:space="preserve"> </w:t>
            </w:r>
          </w:p>
          <w:p w14:paraId="4451DE58" w14:textId="77777777" w:rsidR="003D3187" w:rsidRDefault="00000000">
            <w:pPr>
              <w:spacing w:after="110" w:line="240" w:lineRule="auto"/>
              <w:ind w:left="0" w:right="26" w:firstLine="0"/>
            </w:pPr>
            <w:r>
              <w:rPr>
                <w:b/>
                <w:sz w:val="20"/>
              </w:rPr>
              <w:t xml:space="preserve">Core Funding/ Net Revenue Budget </w:t>
            </w:r>
          </w:p>
          <w:p w14:paraId="13CBBECC" w14:textId="77777777" w:rsidR="003D3187" w:rsidRDefault="00000000">
            <w:pPr>
              <w:spacing w:after="0" w:line="259" w:lineRule="auto"/>
              <w:ind w:left="0" w:firstLine="0"/>
            </w:pPr>
            <w:r>
              <w:rPr>
                <w:sz w:val="20"/>
              </w:rPr>
              <w:t xml:space="preserve"> </w:t>
            </w:r>
          </w:p>
          <w:p w14:paraId="0A635002" w14:textId="77777777" w:rsidR="003D3187" w:rsidRDefault="00000000">
            <w:pPr>
              <w:spacing w:after="0" w:line="259" w:lineRule="auto"/>
              <w:ind w:left="0" w:firstLine="0"/>
            </w:pPr>
            <w:r>
              <w:rPr>
                <w:sz w:val="20"/>
              </w:rPr>
              <w:t xml:space="preserve">LA Better Care Fund </w:t>
            </w:r>
          </w:p>
        </w:tc>
        <w:tc>
          <w:tcPr>
            <w:tcW w:w="992" w:type="dxa"/>
            <w:tcBorders>
              <w:top w:val="nil"/>
              <w:left w:val="single" w:sz="4" w:space="0" w:color="000000"/>
              <w:bottom w:val="single" w:sz="4" w:space="0" w:color="000000"/>
              <w:right w:val="single" w:sz="4" w:space="0" w:color="000000"/>
            </w:tcBorders>
          </w:tcPr>
          <w:p w14:paraId="1F012389" w14:textId="77777777" w:rsidR="003D3187" w:rsidRDefault="00000000">
            <w:pPr>
              <w:spacing w:after="0" w:line="259" w:lineRule="auto"/>
              <w:ind w:left="0" w:right="57" w:firstLine="0"/>
              <w:jc w:val="right"/>
            </w:pPr>
            <w:r>
              <w:rPr>
                <w:sz w:val="20"/>
              </w:rPr>
              <w:t xml:space="preserve">(1.412) </w:t>
            </w:r>
          </w:p>
        </w:tc>
        <w:tc>
          <w:tcPr>
            <w:tcW w:w="1370" w:type="dxa"/>
            <w:tcBorders>
              <w:top w:val="nil"/>
              <w:left w:val="single" w:sz="4" w:space="0" w:color="000000"/>
              <w:bottom w:val="single" w:sz="4" w:space="0" w:color="000000"/>
              <w:right w:val="single" w:sz="4" w:space="0" w:color="000000"/>
            </w:tcBorders>
          </w:tcPr>
          <w:p w14:paraId="09BD0B33" w14:textId="77777777" w:rsidR="003D3187" w:rsidRDefault="00000000">
            <w:pPr>
              <w:spacing w:after="0" w:line="259" w:lineRule="auto"/>
              <w:ind w:left="0" w:right="57" w:firstLine="0"/>
              <w:jc w:val="right"/>
            </w:pPr>
            <w:r>
              <w:rPr>
                <w:sz w:val="20"/>
              </w:rPr>
              <w:t xml:space="preserve">1.412 </w:t>
            </w:r>
          </w:p>
        </w:tc>
        <w:tc>
          <w:tcPr>
            <w:tcW w:w="1276" w:type="dxa"/>
            <w:tcBorders>
              <w:top w:val="nil"/>
              <w:left w:val="single" w:sz="4" w:space="0" w:color="000000"/>
              <w:bottom w:val="single" w:sz="4" w:space="0" w:color="000000"/>
              <w:right w:val="single" w:sz="4" w:space="0" w:color="000000"/>
            </w:tcBorders>
          </w:tcPr>
          <w:p w14:paraId="3463617E" w14:textId="77777777" w:rsidR="003D3187" w:rsidRDefault="00000000">
            <w:pPr>
              <w:spacing w:after="0" w:line="259" w:lineRule="auto"/>
              <w:ind w:left="0" w:right="57" w:firstLine="0"/>
              <w:jc w:val="right"/>
            </w:pPr>
            <w:r>
              <w:rPr>
                <w:sz w:val="20"/>
              </w:rPr>
              <w:t xml:space="preserve">0.000 </w:t>
            </w:r>
          </w:p>
        </w:tc>
        <w:tc>
          <w:tcPr>
            <w:tcW w:w="1276" w:type="dxa"/>
            <w:tcBorders>
              <w:top w:val="nil"/>
              <w:left w:val="single" w:sz="4" w:space="0" w:color="000000"/>
              <w:bottom w:val="single" w:sz="4" w:space="0" w:color="000000"/>
              <w:right w:val="single" w:sz="4" w:space="0" w:color="000000"/>
            </w:tcBorders>
            <w:vAlign w:val="bottom"/>
          </w:tcPr>
          <w:p w14:paraId="63A000ED" w14:textId="77777777" w:rsidR="003D3187" w:rsidRDefault="00000000">
            <w:pPr>
              <w:spacing w:after="0" w:line="259" w:lineRule="auto"/>
              <w:ind w:left="0" w:right="1" w:firstLine="0"/>
              <w:jc w:val="right"/>
            </w:pPr>
            <w:r>
              <w:rPr>
                <w:sz w:val="20"/>
              </w:rPr>
              <w:t xml:space="preserve"> </w:t>
            </w:r>
          </w:p>
        </w:tc>
        <w:tc>
          <w:tcPr>
            <w:tcW w:w="1155" w:type="dxa"/>
            <w:tcBorders>
              <w:top w:val="nil"/>
              <w:left w:val="single" w:sz="4" w:space="0" w:color="000000"/>
              <w:bottom w:val="single" w:sz="4" w:space="0" w:color="000000"/>
              <w:right w:val="single" w:sz="4" w:space="0" w:color="000000"/>
            </w:tcBorders>
          </w:tcPr>
          <w:p w14:paraId="0C50825B" w14:textId="77777777" w:rsidR="003D3187" w:rsidRDefault="00000000">
            <w:pPr>
              <w:spacing w:after="0" w:line="259" w:lineRule="auto"/>
              <w:ind w:left="0" w:right="56" w:firstLine="0"/>
              <w:jc w:val="right"/>
            </w:pPr>
            <w:r>
              <w:rPr>
                <w:sz w:val="20"/>
              </w:rPr>
              <w:t xml:space="preserve">0.000 </w:t>
            </w:r>
          </w:p>
        </w:tc>
      </w:tr>
      <w:tr w:rsidR="003D3187" w14:paraId="01E648D9" w14:textId="77777777">
        <w:trPr>
          <w:trHeight w:val="298"/>
        </w:trPr>
        <w:tc>
          <w:tcPr>
            <w:tcW w:w="0" w:type="auto"/>
            <w:vMerge/>
            <w:tcBorders>
              <w:top w:val="nil"/>
              <w:left w:val="single" w:sz="4" w:space="0" w:color="000000"/>
              <w:bottom w:val="nil"/>
              <w:right w:val="single" w:sz="4" w:space="0" w:color="000000"/>
            </w:tcBorders>
          </w:tcPr>
          <w:p w14:paraId="7605852C" w14:textId="77777777" w:rsidR="003D3187" w:rsidRDefault="003D3187">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vAlign w:val="bottom"/>
          </w:tcPr>
          <w:p w14:paraId="4CD2D3D5" w14:textId="77777777" w:rsidR="003D3187" w:rsidRDefault="00000000">
            <w:pPr>
              <w:spacing w:after="0" w:line="259" w:lineRule="auto"/>
              <w:ind w:left="23" w:firstLine="0"/>
              <w:jc w:val="both"/>
            </w:pPr>
            <w:r>
              <w:rPr>
                <w:sz w:val="20"/>
              </w:rPr>
              <w:t xml:space="preserve">(164.550) </w:t>
            </w:r>
          </w:p>
        </w:tc>
        <w:tc>
          <w:tcPr>
            <w:tcW w:w="1370" w:type="dxa"/>
            <w:tcBorders>
              <w:top w:val="single" w:sz="4" w:space="0" w:color="000000"/>
              <w:left w:val="single" w:sz="4" w:space="0" w:color="000000"/>
              <w:bottom w:val="single" w:sz="4" w:space="0" w:color="000000"/>
              <w:right w:val="single" w:sz="4" w:space="0" w:color="000000"/>
            </w:tcBorders>
            <w:vAlign w:val="bottom"/>
          </w:tcPr>
          <w:p w14:paraId="4F156D1E" w14:textId="77777777" w:rsidR="003D3187" w:rsidRDefault="00000000">
            <w:pPr>
              <w:spacing w:after="0" w:line="259" w:lineRule="auto"/>
              <w:ind w:left="0" w:right="57" w:firstLine="0"/>
              <w:jc w:val="right"/>
            </w:pPr>
            <w:r>
              <w:rPr>
                <w:sz w:val="20"/>
              </w:rPr>
              <w:t xml:space="preserve">(5.612) </w:t>
            </w:r>
          </w:p>
        </w:tc>
        <w:tc>
          <w:tcPr>
            <w:tcW w:w="1276" w:type="dxa"/>
            <w:tcBorders>
              <w:top w:val="single" w:sz="4" w:space="0" w:color="000000"/>
              <w:left w:val="single" w:sz="4" w:space="0" w:color="000000"/>
              <w:bottom w:val="single" w:sz="4" w:space="0" w:color="000000"/>
              <w:right w:val="single" w:sz="4" w:space="0" w:color="000000"/>
            </w:tcBorders>
            <w:vAlign w:val="bottom"/>
          </w:tcPr>
          <w:p w14:paraId="0407F078" w14:textId="77777777" w:rsidR="003D3187" w:rsidRDefault="00000000">
            <w:pPr>
              <w:spacing w:after="0" w:line="259" w:lineRule="auto"/>
              <w:ind w:left="0" w:right="57" w:firstLine="0"/>
              <w:jc w:val="right"/>
            </w:pPr>
            <w:r>
              <w:rPr>
                <w:sz w:val="20"/>
              </w:rPr>
              <w:t xml:space="preserve">(170.162) </w:t>
            </w:r>
          </w:p>
        </w:tc>
        <w:tc>
          <w:tcPr>
            <w:tcW w:w="1276" w:type="dxa"/>
            <w:tcBorders>
              <w:top w:val="single" w:sz="4" w:space="0" w:color="000000"/>
              <w:left w:val="single" w:sz="4" w:space="0" w:color="000000"/>
              <w:bottom w:val="single" w:sz="4" w:space="0" w:color="000000"/>
              <w:right w:val="single" w:sz="4" w:space="0" w:color="000000"/>
            </w:tcBorders>
            <w:vAlign w:val="bottom"/>
          </w:tcPr>
          <w:p w14:paraId="3FA0D388" w14:textId="77777777" w:rsidR="003D3187" w:rsidRDefault="00000000">
            <w:pPr>
              <w:spacing w:after="0" w:line="259" w:lineRule="auto"/>
              <w:ind w:left="0" w:right="57" w:firstLine="0"/>
              <w:jc w:val="right"/>
            </w:pPr>
            <w:r>
              <w:rPr>
                <w:sz w:val="20"/>
              </w:rPr>
              <w:t xml:space="preserve">0.000 </w:t>
            </w:r>
          </w:p>
        </w:tc>
        <w:tc>
          <w:tcPr>
            <w:tcW w:w="1155" w:type="dxa"/>
            <w:tcBorders>
              <w:top w:val="single" w:sz="4" w:space="0" w:color="000000"/>
              <w:left w:val="single" w:sz="4" w:space="0" w:color="000000"/>
              <w:bottom w:val="single" w:sz="4" w:space="0" w:color="000000"/>
              <w:right w:val="single" w:sz="4" w:space="0" w:color="000000"/>
            </w:tcBorders>
            <w:vAlign w:val="bottom"/>
          </w:tcPr>
          <w:p w14:paraId="17DFDB21" w14:textId="77777777" w:rsidR="003D3187" w:rsidRDefault="00000000">
            <w:pPr>
              <w:spacing w:after="0" w:line="259" w:lineRule="auto"/>
              <w:ind w:left="0" w:right="56" w:firstLine="0"/>
              <w:jc w:val="right"/>
            </w:pPr>
            <w:r>
              <w:rPr>
                <w:sz w:val="20"/>
              </w:rPr>
              <w:t xml:space="preserve">(170.162) </w:t>
            </w:r>
          </w:p>
        </w:tc>
      </w:tr>
      <w:tr w:rsidR="003D3187" w14:paraId="0D5985BD" w14:textId="77777777">
        <w:trPr>
          <w:trHeight w:val="298"/>
        </w:trPr>
        <w:tc>
          <w:tcPr>
            <w:tcW w:w="0" w:type="auto"/>
            <w:vMerge/>
            <w:tcBorders>
              <w:top w:val="nil"/>
              <w:left w:val="single" w:sz="4" w:space="0" w:color="000000"/>
              <w:bottom w:val="nil"/>
              <w:right w:val="single" w:sz="4" w:space="0" w:color="000000"/>
            </w:tcBorders>
          </w:tcPr>
          <w:p w14:paraId="7A8567B9" w14:textId="77777777" w:rsidR="003D3187" w:rsidRDefault="003D3187">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vAlign w:val="bottom"/>
          </w:tcPr>
          <w:p w14:paraId="6AE91B91" w14:textId="77777777" w:rsidR="003D3187" w:rsidRDefault="00000000">
            <w:pPr>
              <w:spacing w:after="0" w:line="259" w:lineRule="auto"/>
              <w:ind w:left="1" w:firstLine="0"/>
            </w:pPr>
            <w:r>
              <w:rPr>
                <w:b/>
                <w:sz w:val="20"/>
              </w:rPr>
              <w:t xml:space="preserve"> </w:t>
            </w:r>
          </w:p>
        </w:tc>
        <w:tc>
          <w:tcPr>
            <w:tcW w:w="1370" w:type="dxa"/>
            <w:tcBorders>
              <w:top w:val="single" w:sz="4" w:space="0" w:color="000000"/>
              <w:left w:val="single" w:sz="4" w:space="0" w:color="000000"/>
              <w:bottom w:val="single" w:sz="4" w:space="0" w:color="000000"/>
              <w:right w:val="single" w:sz="4" w:space="0" w:color="000000"/>
            </w:tcBorders>
            <w:vAlign w:val="bottom"/>
          </w:tcPr>
          <w:p w14:paraId="0BD38815" w14:textId="77777777" w:rsidR="003D3187" w:rsidRDefault="00000000">
            <w:pPr>
              <w:spacing w:after="0" w:line="259" w:lineRule="auto"/>
              <w:ind w:left="1"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14:paraId="4D185197" w14:textId="77777777" w:rsidR="003D3187" w:rsidRDefault="00000000">
            <w:pPr>
              <w:spacing w:after="0" w:line="259" w:lineRule="auto"/>
              <w:ind w:left="1"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14:paraId="38FEDE08" w14:textId="77777777" w:rsidR="003D3187" w:rsidRDefault="00000000">
            <w:pPr>
              <w:spacing w:after="0" w:line="259" w:lineRule="auto"/>
              <w:ind w:left="1" w:firstLine="0"/>
            </w:pPr>
            <w:r>
              <w:rPr>
                <w:b/>
                <w:sz w:val="20"/>
              </w:rPr>
              <w:t xml:space="preserve"> </w:t>
            </w:r>
          </w:p>
        </w:tc>
        <w:tc>
          <w:tcPr>
            <w:tcW w:w="1155" w:type="dxa"/>
            <w:tcBorders>
              <w:top w:val="single" w:sz="4" w:space="0" w:color="000000"/>
              <w:left w:val="single" w:sz="4" w:space="0" w:color="000000"/>
              <w:bottom w:val="single" w:sz="4" w:space="0" w:color="000000"/>
              <w:right w:val="single" w:sz="4" w:space="0" w:color="000000"/>
            </w:tcBorders>
            <w:vAlign w:val="bottom"/>
          </w:tcPr>
          <w:p w14:paraId="24989A05" w14:textId="77777777" w:rsidR="003D3187" w:rsidRDefault="00000000">
            <w:pPr>
              <w:spacing w:after="0" w:line="259" w:lineRule="auto"/>
              <w:ind w:left="1" w:firstLine="0"/>
            </w:pPr>
            <w:r>
              <w:rPr>
                <w:b/>
                <w:sz w:val="20"/>
              </w:rPr>
              <w:t xml:space="preserve"> </w:t>
            </w:r>
          </w:p>
        </w:tc>
      </w:tr>
      <w:tr w:rsidR="003D3187" w14:paraId="268B1D44" w14:textId="77777777">
        <w:trPr>
          <w:trHeight w:val="470"/>
        </w:trPr>
        <w:tc>
          <w:tcPr>
            <w:tcW w:w="0" w:type="auto"/>
            <w:vMerge/>
            <w:tcBorders>
              <w:top w:val="nil"/>
              <w:left w:val="single" w:sz="4" w:space="0" w:color="000000"/>
              <w:bottom w:val="nil"/>
              <w:right w:val="single" w:sz="4" w:space="0" w:color="000000"/>
            </w:tcBorders>
          </w:tcPr>
          <w:p w14:paraId="3E6C67EC" w14:textId="77777777" w:rsidR="003D3187" w:rsidRDefault="003D3187">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vAlign w:val="bottom"/>
          </w:tcPr>
          <w:p w14:paraId="5FDB8E6B" w14:textId="77777777" w:rsidR="003D3187" w:rsidRDefault="00000000">
            <w:pPr>
              <w:spacing w:after="0" w:line="259" w:lineRule="auto"/>
              <w:ind w:left="23" w:firstLine="0"/>
              <w:jc w:val="both"/>
            </w:pPr>
            <w:r>
              <w:rPr>
                <w:b/>
                <w:sz w:val="20"/>
              </w:rPr>
              <w:t xml:space="preserve">(331.800) </w:t>
            </w:r>
          </w:p>
        </w:tc>
        <w:tc>
          <w:tcPr>
            <w:tcW w:w="1370" w:type="dxa"/>
            <w:tcBorders>
              <w:top w:val="single" w:sz="4" w:space="0" w:color="000000"/>
              <w:left w:val="single" w:sz="4" w:space="0" w:color="000000"/>
              <w:bottom w:val="single" w:sz="4" w:space="0" w:color="000000"/>
              <w:right w:val="single" w:sz="4" w:space="0" w:color="000000"/>
            </w:tcBorders>
            <w:vAlign w:val="bottom"/>
          </w:tcPr>
          <w:p w14:paraId="04F375DE" w14:textId="77777777" w:rsidR="003D3187" w:rsidRDefault="00000000">
            <w:pPr>
              <w:spacing w:after="0" w:line="259" w:lineRule="auto"/>
              <w:ind w:left="0" w:right="57" w:firstLine="0"/>
              <w:jc w:val="right"/>
            </w:pPr>
            <w:r>
              <w:rPr>
                <w:b/>
                <w:sz w:val="20"/>
              </w:rPr>
              <w:t xml:space="preserve">(20.072) </w:t>
            </w:r>
          </w:p>
        </w:tc>
        <w:tc>
          <w:tcPr>
            <w:tcW w:w="1276" w:type="dxa"/>
            <w:tcBorders>
              <w:top w:val="single" w:sz="4" w:space="0" w:color="000000"/>
              <w:left w:val="single" w:sz="4" w:space="0" w:color="000000"/>
              <w:bottom w:val="single" w:sz="4" w:space="0" w:color="000000"/>
              <w:right w:val="single" w:sz="4" w:space="0" w:color="000000"/>
            </w:tcBorders>
            <w:vAlign w:val="bottom"/>
          </w:tcPr>
          <w:p w14:paraId="0AFD74B5" w14:textId="77777777" w:rsidR="003D3187" w:rsidRDefault="00000000">
            <w:pPr>
              <w:spacing w:after="0" w:line="259" w:lineRule="auto"/>
              <w:ind w:left="0" w:right="57" w:firstLine="0"/>
              <w:jc w:val="right"/>
            </w:pPr>
            <w:r>
              <w:rPr>
                <w:b/>
                <w:sz w:val="20"/>
              </w:rPr>
              <w:t xml:space="preserve">(351.872) </w:t>
            </w:r>
          </w:p>
        </w:tc>
        <w:tc>
          <w:tcPr>
            <w:tcW w:w="1276" w:type="dxa"/>
            <w:tcBorders>
              <w:top w:val="single" w:sz="4" w:space="0" w:color="000000"/>
              <w:left w:val="single" w:sz="4" w:space="0" w:color="000000"/>
              <w:bottom w:val="single" w:sz="4" w:space="0" w:color="000000"/>
              <w:right w:val="single" w:sz="4" w:space="0" w:color="000000"/>
            </w:tcBorders>
            <w:vAlign w:val="bottom"/>
          </w:tcPr>
          <w:p w14:paraId="3872F9EE" w14:textId="77777777" w:rsidR="003D3187" w:rsidRDefault="00000000">
            <w:pPr>
              <w:spacing w:after="0" w:line="259" w:lineRule="auto"/>
              <w:ind w:left="0" w:right="57" w:firstLine="0"/>
              <w:jc w:val="right"/>
            </w:pPr>
            <w:r>
              <w:rPr>
                <w:b/>
                <w:sz w:val="20"/>
              </w:rPr>
              <w:t xml:space="preserve">(72.946) </w:t>
            </w:r>
          </w:p>
        </w:tc>
        <w:tc>
          <w:tcPr>
            <w:tcW w:w="1155" w:type="dxa"/>
            <w:tcBorders>
              <w:top w:val="single" w:sz="4" w:space="0" w:color="000000"/>
              <w:left w:val="single" w:sz="4" w:space="0" w:color="000000"/>
              <w:bottom w:val="single" w:sz="4" w:space="0" w:color="000000"/>
              <w:right w:val="single" w:sz="4" w:space="0" w:color="000000"/>
            </w:tcBorders>
            <w:vAlign w:val="bottom"/>
          </w:tcPr>
          <w:p w14:paraId="2DEADF73" w14:textId="77777777" w:rsidR="003D3187" w:rsidRDefault="00000000">
            <w:pPr>
              <w:spacing w:after="0" w:line="259" w:lineRule="auto"/>
              <w:ind w:left="0" w:right="56" w:firstLine="0"/>
              <w:jc w:val="right"/>
            </w:pPr>
            <w:r>
              <w:rPr>
                <w:b/>
                <w:sz w:val="20"/>
              </w:rPr>
              <w:t xml:space="preserve">(424.818) </w:t>
            </w:r>
          </w:p>
        </w:tc>
      </w:tr>
      <w:tr w:rsidR="003D3187" w14:paraId="52912187" w14:textId="77777777">
        <w:trPr>
          <w:trHeight w:val="631"/>
        </w:trPr>
        <w:tc>
          <w:tcPr>
            <w:tcW w:w="0" w:type="auto"/>
            <w:vMerge/>
            <w:tcBorders>
              <w:top w:val="nil"/>
              <w:left w:val="single" w:sz="4" w:space="0" w:color="000000"/>
              <w:bottom w:val="nil"/>
              <w:right w:val="single" w:sz="4" w:space="0" w:color="000000"/>
            </w:tcBorders>
          </w:tcPr>
          <w:p w14:paraId="41EE6F0D" w14:textId="77777777" w:rsidR="003D3187" w:rsidRDefault="003D3187">
            <w:pPr>
              <w:spacing w:after="160" w:line="259" w:lineRule="auto"/>
              <w:ind w:left="0" w:firstLine="0"/>
            </w:pPr>
          </w:p>
        </w:tc>
        <w:tc>
          <w:tcPr>
            <w:tcW w:w="992" w:type="dxa"/>
            <w:tcBorders>
              <w:top w:val="single" w:sz="4" w:space="0" w:color="000000"/>
              <w:left w:val="single" w:sz="4" w:space="0" w:color="000000"/>
              <w:bottom w:val="nil"/>
              <w:right w:val="single" w:sz="4" w:space="0" w:color="000000"/>
            </w:tcBorders>
          </w:tcPr>
          <w:p w14:paraId="73272C26" w14:textId="77777777" w:rsidR="003D3187" w:rsidRDefault="00000000">
            <w:pPr>
              <w:spacing w:after="0" w:line="259" w:lineRule="auto"/>
              <w:ind w:left="1" w:firstLine="0"/>
            </w:pPr>
            <w:r>
              <w:rPr>
                <w:sz w:val="20"/>
              </w:rPr>
              <w:t xml:space="preserve"> </w:t>
            </w:r>
          </w:p>
          <w:p w14:paraId="40D59342" w14:textId="77777777" w:rsidR="003D3187" w:rsidRDefault="00000000">
            <w:pPr>
              <w:spacing w:after="0" w:line="259" w:lineRule="auto"/>
              <w:ind w:left="0" w:right="57" w:firstLine="0"/>
              <w:jc w:val="right"/>
            </w:pPr>
            <w:r>
              <w:rPr>
                <w:sz w:val="20"/>
              </w:rPr>
              <w:t xml:space="preserve">(20.482) </w:t>
            </w:r>
          </w:p>
        </w:tc>
        <w:tc>
          <w:tcPr>
            <w:tcW w:w="1370" w:type="dxa"/>
            <w:tcBorders>
              <w:top w:val="single" w:sz="4" w:space="0" w:color="000000"/>
              <w:left w:val="single" w:sz="4" w:space="0" w:color="000000"/>
              <w:bottom w:val="nil"/>
              <w:right w:val="single" w:sz="4" w:space="0" w:color="000000"/>
            </w:tcBorders>
            <w:vAlign w:val="bottom"/>
          </w:tcPr>
          <w:p w14:paraId="5C7F22B7" w14:textId="77777777" w:rsidR="003D3187" w:rsidRDefault="00000000">
            <w:pPr>
              <w:spacing w:after="40" w:line="259" w:lineRule="auto"/>
              <w:ind w:left="1" w:firstLine="0"/>
            </w:pPr>
            <w:r>
              <w:rPr>
                <w:sz w:val="20"/>
              </w:rPr>
              <w:t xml:space="preserve"> </w:t>
            </w:r>
          </w:p>
          <w:p w14:paraId="1463BB39" w14:textId="77777777" w:rsidR="003D3187" w:rsidRDefault="00000000">
            <w:pPr>
              <w:spacing w:after="0" w:line="259" w:lineRule="auto"/>
              <w:ind w:left="0" w:right="1" w:firstLine="0"/>
              <w:jc w:val="right"/>
            </w:pPr>
            <w:r>
              <w:rPr>
                <w:sz w:val="20"/>
              </w:rPr>
              <w:t xml:space="preserve"> </w:t>
            </w:r>
          </w:p>
        </w:tc>
        <w:tc>
          <w:tcPr>
            <w:tcW w:w="1276" w:type="dxa"/>
            <w:tcBorders>
              <w:top w:val="single" w:sz="4" w:space="0" w:color="000000"/>
              <w:left w:val="single" w:sz="4" w:space="0" w:color="000000"/>
              <w:bottom w:val="nil"/>
              <w:right w:val="single" w:sz="4" w:space="0" w:color="000000"/>
            </w:tcBorders>
          </w:tcPr>
          <w:p w14:paraId="51122D08" w14:textId="77777777" w:rsidR="003D3187" w:rsidRDefault="00000000">
            <w:pPr>
              <w:spacing w:after="0" w:line="259" w:lineRule="auto"/>
              <w:ind w:left="1" w:firstLine="0"/>
            </w:pPr>
            <w:r>
              <w:rPr>
                <w:sz w:val="20"/>
              </w:rPr>
              <w:t xml:space="preserve"> </w:t>
            </w:r>
          </w:p>
          <w:p w14:paraId="41567601" w14:textId="77777777" w:rsidR="003D3187" w:rsidRDefault="00000000">
            <w:pPr>
              <w:spacing w:after="0" w:line="259" w:lineRule="auto"/>
              <w:ind w:left="0" w:right="57" w:firstLine="0"/>
              <w:jc w:val="right"/>
            </w:pPr>
            <w:r>
              <w:rPr>
                <w:sz w:val="20"/>
              </w:rPr>
              <w:t xml:space="preserve">(20.482) </w:t>
            </w:r>
          </w:p>
        </w:tc>
        <w:tc>
          <w:tcPr>
            <w:tcW w:w="1276" w:type="dxa"/>
            <w:tcBorders>
              <w:top w:val="single" w:sz="4" w:space="0" w:color="000000"/>
              <w:left w:val="single" w:sz="4" w:space="0" w:color="000000"/>
              <w:bottom w:val="nil"/>
              <w:right w:val="single" w:sz="4" w:space="0" w:color="000000"/>
            </w:tcBorders>
            <w:vAlign w:val="bottom"/>
          </w:tcPr>
          <w:p w14:paraId="2CF9E5FF" w14:textId="77777777" w:rsidR="003D3187" w:rsidRDefault="00000000">
            <w:pPr>
              <w:spacing w:after="40" w:line="259" w:lineRule="auto"/>
              <w:ind w:left="1" w:firstLine="0"/>
            </w:pPr>
            <w:r>
              <w:rPr>
                <w:sz w:val="20"/>
              </w:rPr>
              <w:t xml:space="preserve"> </w:t>
            </w:r>
          </w:p>
          <w:p w14:paraId="09F9351E" w14:textId="77777777" w:rsidR="003D3187" w:rsidRDefault="00000000">
            <w:pPr>
              <w:spacing w:after="0" w:line="259" w:lineRule="auto"/>
              <w:ind w:left="0" w:right="1" w:firstLine="0"/>
              <w:jc w:val="right"/>
            </w:pPr>
            <w:r>
              <w:rPr>
                <w:sz w:val="20"/>
              </w:rPr>
              <w:t xml:space="preserve"> </w:t>
            </w:r>
          </w:p>
        </w:tc>
        <w:tc>
          <w:tcPr>
            <w:tcW w:w="1155" w:type="dxa"/>
            <w:tcBorders>
              <w:top w:val="single" w:sz="4" w:space="0" w:color="000000"/>
              <w:left w:val="single" w:sz="4" w:space="0" w:color="000000"/>
              <w:bottom w:val="nil"/>
              <w:right w:val="single" w:sz="4" w:space="0" w:color="000000"/>
            </w:tcBorders>
          </w:tcPr>
          <w:p w14:paraId="38776C55" w14:textId="77777777" w:rsidR="003D3187" w:rsidRDefault="00000000">
            <w:pPr>
              <w:spacing w:after="0" w:line="259" w:lineRule="auto"/>
              <w:ind w:left="1" w:firstLine="0"/>
            </w:pPr>
            <w:r>
              <w:rPr>
                <w:sz w:val="20"/>
              </w:rPr>
              <w:t xml:space="preserve"> </w:t>
            </w:r>
          </w:p>
          <w:p w14:paraId="5883C7B4" w14:textId="77777777" w:rsidR="003D3187" w:rsidRDefault="00000000">
            <w:pPr>
              <w:spacing w:after="0" w:line="259" w:lineRule="auto"/>
              <w:ind w:left="0" w:right="56" w:firstLine="0"/>
              <w:jc w:val="right"/>
            </w:pPr>
            <w:r>
              <w:rPr>
                <w:sz w:val="20"/>
              </w:rPr>
              <w:t xml:space="preserve">(20.482) </w:t>
            </w:r>
          </w:p>
        </w:tc>
      </w:tr>
      <w:tr w:rsidR="003D3187" w14:paraId="5F63559A" w14:textId="77777777">
        <w:trPr>
          <w:trHeight w:val="288"/>
        </w:trPr>
        <w:tc>
          <w:tcPr>
            <w:tcW w:w="3449" w:type="dxa"/>
            <w:tcBorders>
              <w:top w:val="nil"/>
              <w:left w:val="single" w:sz="4" w:space="0" w:color="000000"/>
              <w:bottom w:val="nil"/>
              <w:right w:val="single" w:sz="4" w:space="0" w:color="000000"/>
            </w:tcBorders>
          </w:tcPr>
          <w:p w14:paraId="24C0096B" w14:textId="77777777" w:rsidR="003D3187" w:rsidRDefault="00000000">
            <w:pPr>
              <w:spacing w:after="0" w:line="259" w:lineRule="auto"/>
              <w:ind w:left="0" w:firstLine="0"/>
            </w:pPr>
            <w:r>
              <w:rPr>
                <w:sz w:val="20"/>
              </w:rPr>
              <w:t xml:space="preserve">New Homes Fund </w:t>
            </w:r>
          </w:p>
        </w:tc>
        <w:tc>
          <w:tcPr>
            <w:tcW w:w="992" w:type="dxa"/>
            <w:tcBorders>
              <w:top w:val="nil"/>
              <w:left w:val="single" w:sz="4" w:space="0" w:color="000000"/>
              <w:bottom w:val="nil"/>
              <w:right w:val="single" w:sz="4" w:space="0" w:color="000000"/>
            </w:tcBorders>
          </w:tcPr>
          <w:p w14:paraId="76360B62" w14:textId="77777777" w:rsidR="003D3187" w:rsidRDefault="00000000">
            <w:pPr>
              <w:spacing w:after="0" w:line="259" w:lineRule="auto"/>
              <w:ind w:left="0" w:right="57" w:firstLine="0"/>
              <w:jc w:val="right"/>
            </w:pPr>
            <w:r>
              <w:rPr>
                <w:sz w:val="20"/>
              </w:rPr>
              <w:t xml:space="preserve">(1.148) </w:t>
            </w:r>
          </w:p>
        </w:tc>
        <w:tc>
          <w:tcPr>
            <w:tcW w:w="1370" w:type="dxa"/>
            <w:tcBorders>
              <w:top w:val="nil"/>
              <w:left w:val="single" w:sz="4" w:space="0" w:color="000000"/>
              <w:bottom w:val="nil"/>
              <w:right w:val="single" w:sz="4" w:space="0" w:color="000000"/>
            </w:tcBorders>
          </w:tcPr>
          <w:p w14:paraId="125FB3AD" w14:textId="77777777" w:rsidR="003D3187" w:rsidRDefault="00000000">
            <w:pPr>
              <w:spacing w:after="0" w:line="259" w:lineRule="auto"/>
              <w:ind w:left="0" w:right="57" w:firstLine="0"/>
              <w:jc w:val="right"/>
            </w:pPr>
            <w:r>
              <w:rPr>
                <w:sz w:val="20"/>
              </w:rPr>
              <w:t xml:space="preserve">1.148 </w:t>
            </w:r>
          </w:p>
        </w:tc>
        <w:tc>
          <w:tcPr>
            <w:tcW w:w="1276" w:type="dxa"/>
            <w:tcBorders>
              <w:top w:val="nil"/>
              <w:left w:val="single" w:sz="4" w:space="0" w:color="000000"/>
              <w:bottom w:val="nil"/>
              <w:right w:val="single" w:sz="4" w:space="0" w:color="000000"/>
            </w:tcBorders>
          </w:tcPr>
          <w:p w14:paraId="7C7CBE19" w14:textId="77777777" w:rsidR="003D3187" w:rsidRDefault="00000000">
            <w:pPr>
              <w:spacing w:after="0" w:line="259" w:lineRule="auto"/>
              <w:ind w:left="0" w:right="57" w:firstLine="0"/>
              <w:jc w:val="right"/>
            </w:pPr>
            <w:r>
              <w:rPr>
                <w:sz w:val="20"/>
              </w:rPr>
              <w:t xml:space="preserve">0.000 </w:t>
            </w:r>
          </w:p>
        </w:tc>
        <w:tc>
          <w:tcPr>
            <w:tcW w:w="1276" w:type="dxa"/>
            <w:tcBorders>
              <w:top w:val="nil"/>
              <w:left w:val="single" w:sz="4" w:space="0" w:color="000000"/>
              <w:bottom w:val="nil"/>
              <w:right w:val="single" w:sz="4" w:space="0" w:color="000000"/>
            </w:tcBorders>
          </w:tcPr>
          <w:p w14:paraId="5895C582" w14:textId="77777777" w:rsidR="003D3187" w:rsidRDefault="00000000">
            <w:pPr>
              <w:spacing w:after="0" w:line="259" w:lineRule="auto"/>
              <w:ind w:left="0" w:right="1" w:firstLine="0"/>
              <w:jc w:val="right"/>
            </w:pPr>
            <w:r>
              <w:rPr>
                <w:sz w:val="20"/>
              </w:rPr>
              <w:t xml:space="preserve"> </w:t>
            </w:r>
          </w:p>
        </w:tc>
        <w:tc>
          <w:tcPr>
            <w:tcW w:w="1155" w:type="dxa"/>
            <w:tcBorders>
              <w:top w:val="nil"/>
              <w:left w:val="single" w:sz="4" w:space="0" w:color="000000"/>
              <w:bottom w:val="nil"/>
              <w:right w:val="single" w:sz="4" w:space="0" w:color="000000"/>
            </w:tcBorders>
          </w:tcPr>
          <w:p w14:paraId="04C6F2F5" w14:textId="77777777" w:rsidR="003D3187" w:rsidRDefault="00000000">
            <w:pPr>
              <w:spacing w:after="0" w:line="259" w:lineRule="auto"/>
              <w:ind w:left="0" w:right="56" w:firstLine="0"/>
              <w:jc w:val="right"/>
            </w:pPr>
            <w:r>
              <w:rPr>
                <w:sz w:val="20"/>
              </w:rPr>
              <w:t xml:space="preserve">0.000 </w:t>
            </w:r>
          </w:p>
        </w:tc>
      </w:tr>
      <w:tr w:rsidR="003D3187" w14:paraId="29C7C1C6" w14:textId="77777777">
        <w:trPr>
          <w:trHeight w:val="317"/>
        </w:trPr>
        <w:tc>
          <w:tcPr>
            <w:tcW w:w="3449" w:type="dxa"/>
            <w:tcBorders>
              <w:top w:val="nil"/>
              <w:left w:val="single" w:sz="4" w:space="0" w:color="000000"/>
              <w:bottom w:val="nil"/>
              <w:right w:val="single" w:sz="4" w:space="0" w:color="000000"/>
            </w:tcBorders>
          </w:tcPr>
          <w:p w14:paraId="00D7E26B" w14:textId="77777777" w:rsidR="003D3187" w:rsidRDefault="00000000">
            <w:pPr>
              <w:spacing w:after="0" w:line="259" w:lineRule="auto"/>
              <w:ind w:left="0" w:firstLine="0"/>
            </w:pPr>
            <w:r>
              <w:rPr>
                <w:sz w:val="20"/>
              </w:rPr>
              <w:t xml:space="preserve">Social Care Grant </w:t>
            </w:r>
          </w:p>
        </w:tc>
        <w:tc>
          <w:tcPr>
            <w:tcW w:w="992" w:type="dxa"/>
            <w:tcBorders>
              <w:top w:val="nil"/>
              <w:left w:val="single" w:sz="4" w:space="0" w:color="000000"/>
              <w:bottom w:val="nil"/>
              <w:right w:val="single" w:sz="4" w:space="0" w:color="000000"/>
            </w:tcBorders>
          </w:tcPr>
          <w:p w14:paraId="7515E4CE" w14:textId="77777777" w:rsidR="003D3187" w:rsidRDefault="00000000">
            <w:pPr>
              <w:spacing w:after="0" w:line="259" w:lineRule="auto"/>
              <w:ind w:left="0" w:right="57" w:firstLine="0"/>
              <w:jc w:val="right"/>
            </w:pPr>
            <w:r>
              <w:rPr>
                <w:sz w:val="20"/>
              </w:rPr>
              <w:t xml:space="preserve">(42.768) </w:t>
            </w:r>
          </w:p>
        </w:tc>
        <w:tc>
          <w:tcPr>
            <w:tcW w:w="1370" w:type="dxa"/>
            <w:tcBorders>
              <w:top w:val="nil"/>
              <w:left w:val="single" w:sz="4" w:space="0" w:color="000000"/>
              <w:bottom w:val="nil"/>
              <w:right w:val="single" w:sz="4" w:space="0" w:color="000000"/>
            </w:tcBorders>
          </w:tcPr>
          <w:p w14:paraId="63F7AD0B" w14:textId="77777777" w:rsidR="003D3187" w:rsidRDefault="00000000">
            <w:pPr>
              <w:spacing w:after="0" w:line="259" w:lineRule="auto"/>
              <w:ind w:left="0" w:right="1" w:firstLine="0"/>
              <w:jc w:val="right"/>
            </w:pPr>
            <w:r>
              <w:rPr>
                <w:sz w:val="20"/>
              </w:rPr>
              <w:t xml:space="preserve"> </w:t>
            </w:r>
          </w:p>
        </w:tc>
        <w:tc>
          <w:tcPr>
            <w:tcW w:w="1276" w:type="dxa"/>
            <w:tcBorders>
              <w:top w:val="nil"/>
              <w:left w:val="single" w:sz="4" w:space="0" w:color="000000"/>
              <w:bottom w:val="nil"/>
              <w:right w:val="single" w:sz="4" w:space="0" w:color="000000"/>
            </w:tcBorders>
          </w:tcPr>
          <w:p w14:paraId="2FB66E44" w14:textId="77777777" w:rsidR="003D3187" w:rsidRDefault="00000000">
            <w:pPr>
              <w:spacing w:after="0" w:line="259" w:lineRule="auto"/>
              <w:ind w:left="0" w:right="57" w:firstLine="0"/>
              <w:jc w:val="right"/>
            </w:pPr>
            <w:r>
              <w:rPr>
                <w:sz w:val="20"/>
              </w:rPr>
              <w:t xml:space="preserve">(42.768) </w:t>
            </w:r>
          </w:p>
        </w:tc>
        <w:tc>
          <w:tcPr>
            <w:tcW w:w="1276" w:type="dxa"/>
            <w:tcBorders>
              <w:top w:val="nil"/>
              <w:left w:val="single" w:sz="4" w:space="0" w:color="000000"/>
              <w:bottom w:val="nil"/>
              <w:right w:val="single" w:sz="4" w:space="0" w:color="000000"/>
            </w:tcBorders>
          </w:tcPr>
          <w:p w14:paraId="04B0F66E" w14:textId="77777777" w:rsidR="003D3187" w:rsidRDefault="00000000">
            <w:pPr>
              <w:spacing w:after="0" w:line="259" w:lineRule="auto"/>
              <w:ind w:left="0" w:right="57" w:firstLine="0"/>
              <w:jc w:val="right"/>
            </w:pPr>
            <w:r>
              <w:rPr>
                <w:sz w:val="20"/>
              </w:rPr>
              <w:t xml:space="preserve">42.768 </w:t>
            </w:r>
          </w:p>
        </w:tc>
        <w:tc>
          <w:tcPr>
            <w:tcW w:w="1155" w:type="dxa"/>
            <w:tcBorders>
              <w:top w:val="nil"/>
              <w:left w:val="single" w:sz="4" w:space="0" w:color="000000"/>
              <w:bottom w:val="nil"/>
              <w:right w:val="single" w:sz="4" w:space="0" w:color="000000"/>
            </w:tcBorders>
          </w:tcPr>
          <w:p w14:paraId="13EA97A1" w14:textId="77777777" w:rsidR="003D3187" w:rsidRDefault="00000000">
            <w:pPr>
              <w:spacing w:after="0" w:line="259" w:lineRule="auto"/>
              <w:ind w:left="0" w:right="56" w:firstLine="0"/>
              <w:jc w:val="right"/>
            </w:pPr>
            <w:r>
              <w:rPr>
                <w:sz w:val="20"/>
              </w:rPr>
              <w:t xml:space="preserve">0.000 </w:t>
            </w:r>
          </w:p>
        </w:tc>
      </w:tr>
      <w:tr w:rsidR="003D3187" w14:paraId="092E4C5F" w14:textId="77777777">
        <w:trPr>
          <w:trHeight w:val="576"/>
        </w:trPr>
        <w:tc>
          <w:tcPr>
            <w:tcW w:w="3449" w:type="dxa"/>
            <w:tcBorders>
              <w:top w:val="nil"/>
              <w:left w:val="single" w:sz="4" w:space="0" w:color="000000"/>
              <w:bottom w:val="nil"/>
              <w:right w:val="single" w:sz="4" w:space="0" w:color="000000"/>
            </w:tcBorders>
          </w:tcPr>
          <w:p w14:paraId="6F618AF0" w14:textId="77777777" w:rsidR="003D3187" w:rsidRDefault="00000000">
            <w:pPr>
              <w:spacing w:after="0" w:line="259" w:lineRule="auto"/>
              <w:ind w:left="0" w:firstLine="0"/>
            </w:pPr>
            <w:r>
              <w:rPr>
                <w:sz w:val="20"/>
              </w:rPr>
              <w:t xml:space="preserve">Market Sustainability &amp; Improvement Fund </w:t>
            </w:r>
          </w:p>
        </w:tc>
        <w:tc>
          <w:tcPr>
            <w:tcW w:w="992" w:type="dxa"/>
            <w:tcBorders>
              <w:top w:val="nil"/>
              <w:left w:val="single" w:sz="4" w:space="0" w:color="000000"/>
              <w:bottom w:val="nil"/>
              <w:right w:val="single" w:sz="4" w:space="0" w:color="000000"/>
            </w:tcBorders>
            <w:vAlign w:val="bottom"/>
          </w:tcPr>
          <w:p w14:paraId="0C1C1A5E" w14:textId="77777777" w:rsidR="003D3187" w:rsidRDefault="00000000">
            <w:pPr>
              <w:spacing w:after="0" w:line="259" w:lineRule="auto"/>
              <w:ind w:left="0" w:right="57" w:firstLine="0"/>
              <w:jc w:val="right"/>
            </w:pPr>
            <w:r>
              <w:rPr>
                <w:sz w:val="20"/>
              </w:rPr>
              <w:t xml:space="preserve">(6.781) </w:t>
            </w:r>
          </w:p>
        </w:tc>
        <w:tc>
          <w:tcPr>
            <w:tcW w:w="1370" w:type="dxa"/>
            <w:tcBorders>
              <w:top w:val="nil"/>
              <w:left w:val="single" w:sz="4" w:space="0" w:color="000000"/>
              <w:bottom w:val="nil"/>
              <w:right w:val="single" w:sz="4" w:space="0" w:color="000000"/>
            </w:tcBorders>
            <w:vAlign w:val="bottom"/>
          </w:tcPr>
          <w:p w14:paraId="2D2C4152" w14:textId="77777777" w:rsidR="003D3187" w:rsidRDefault="00000000">
            <w:pPr>
              <w:spacing w:after="0" w:line="259" w:lineRule="auto"/>
              <w:ind w:left="0" w:right="1" w:firstLine="0"/>
              <w:jc w:val="right"/>
            </w:pPr>
            <w:r>
              <w:rPr>
                <w:sz w:val="20"/>
              </w:rPr>
              <w:t xml:space="preserve"> </w:t>
            </w:r>
          </w:p>
        </w:tc>
        <w:tc>
          <w:tcPr>
            <w:tcW w:w="1276" w:type="dxa"/>
            <w:tcBorders>
              <w:top w:val="nil"/>
              <w:left w:val="single" w:sz="4" w:space="0" w:color="000000"/>
              <w:bottom w:val="nil"/>
              <w:right w:val="single" w:sz="4" w:space="0" w:color="000000"/>
            </w:tcBorders>
            <w:vAlign w:val="bottom"/>
          </w:tcPr>
          <w:p w14:paraId="15D2B0F9" w14:textId="77777777" w:rsidR="003D3187" w:rsidRDefault="00000000">
            <w:pPr>
              <w:spacing w:after="0" w:line="259" w:lineRule="auto"/>
              <w:ind w:left="0" w:right="57" w:firstLine="0"/>
              <w:jc w:val="right"/>
            </w:pPr>
            <w:r>
              <w:rPr>
                <w:sz w:val="20"/>
              </w:rPr>
              <w:t xml:space="preserve">(6.781) </w:t>
            </w:r>
          </w:p>
        </w:tc>
        <w:tc>
          <w:tcPr>
            <w:tcW w:w="1276" w:type="dxa"/>
            <w:tcBorders>
              <w:top w:val="nil"/>
              <w:left w:val="single" w:sz="4" w:space="0" w:color="000000"/>
              <w:bottom w:val="nil"/>
              <w:right w:val="single" w:sz="4" w:space="0" w:color="000000"/>
            </w:tcBorders>
            <w:vAlign w:val="bottom"/>
          </w:tcPr>
          <w:p w14:paraId="4EDBED30" w14:textId="77777777" w:rsidR="003D3187" w:rsidRDefault="00000000">
            <w:pPr>
              <w:spacing w:after="0" w:line="259" w:lineRule="auto"/>
              <w:ind w:left="0" w:right="57" w:firstLine="0"/>
              <w:jc w:val="right"/>
            </w:pPr>
            <w:r>
              <w:rPr>
                <w:sz w:val="20"/>
              </w:rPr>
              <w:t xml:space="preserve">6.781 </w:t>
            </w:r>
          </w:p>
        </w:tc>
        <w:tc>
          <w:tcPr>
            <w:tcW w:w="1155" w:type="dxa"/>
            <w:tcBorders>
              <w:top w:val="nil"/>
              <w:left w:val="single" w:sz="4" w:space="0" w:color="000000"/>
              <w:bottom w:val="nil"/>
              <w:right w:val="single" w:sz="4" w:space="0" w:color="000000"/>
            </w:tcBorders>
            <w:vAlign w:val="bottom"/>
          </w:tcPr>
          <w:p w14:paraId="66273522" w14:textId="77777777" w:rsidR="003D3187" w:rsidRDefault="00000000">
            <w:pPr>
              <w:spacing w:after="0" w:line="259" w:lineRule="auto"/>
              <w:ind w:left="0" w:right="56" w:firstLine="0"/>
              <w:jc w:val="right"/>
            </w:pPr>
            <w:r>
              <w:rPr>
                <w:sz w:val="20"/>
              </w:rPr>
              <w:t xml:space="preserve">0.000 </w:t>
            </w:r>
          </w:p>
        </w:tc>
      </w:tr>
      <w:tr w:rsidR="003D3187" w14:paraId="40E2BF5A" w14:textId="77777777">
        <w:trPr>
          <w:trHeight w:val="547"/>
        </w:trPr>
        <w:tc>
          <w:tcPr>
            <w:tcW w:w="3449" w:type="dxa"/>
            <w:tcBorders>
              <w:top w:val="nil"/>
              <w:left w:val="single" w:sz="4" w:space="0" w:color="000000"/>
              <w:bottom w:val="nil"/>
              <w:right w:val="single" w:sz="4" w:space="0" w:color="000000"/>
            </w:tcBorders>
          </w:tcPr>
          <w:p w14:paraId="50348505" w14:textId="77777777" w:rsidR="003D3187" w:rsidRDefault="00000000">
            <w:pPr>
              <w:spacing w:after="0" w:line="259" w:lineRule="auto"/>
              <w:ind w:left="0" w:firstLine="0"/>
            </w:pPr>
            <w:r>
              <w:rPr>
                <w:sz w:val="20"/>
              </w:rPr>
              <w:t xml:space="preserve">Domestic Abuse Safe Accommodation Grant </w:t>
            </w:r>
          </w:p>
        </w:tc>
        <w:tc>
          <w:tcPr>
            <w:tcW w:w="992" w:type="dxa"/>
            <w:tcBorders>
              <w:top w:val="nil"/>
              <w:left w:val="single" w:sz="4" w:space="0" w:color="000000"/>
              <w:bottom w:val="nil"/>
              <w:right w:val="single" w:sz="4" w:space="0" w:color="000000"/>
            </w:tcBorders>
            <w:vAlign w:val="bottom"/>
          </w:tcPr>
          <w:p w14:paraId="09DFE69D" w14:textId="77777777" w:rsidR="003D3187" w:rsidRDefault="00000000">
            <w:pPr>
              <w:spacing w:after="0" w:line="259" w:lineRule="auto"/>
              <w:ind w:left="0" w:right="57" w:firstLine="0"/>
              <w:jc w:val="right"/>
            </w:pPr>
            <w:r>
              <w:rPr>
                <w:sz w:val="20"/>
              </w:rPr>
              <w:t xml:space="preserve">(1.132) </w:t>
            </w:r>
          </w:p>
        </w:tc>
        <w:tc>
          <w:tcPr>
            <w:tcW w:w="1370" w:type="dxa"/>
            <w:tcBorders>
              <w:top w:val="nil"/>
              <w:left w:val="single" w:sz="4" w:space="0" w:color="000000"/>
              <w:bottom w:val="nil"/>
              <w:right w:val="single" w:sz="4" w:space="0" w:color="000000"/>
            </w:tcBorders>
            <w:vAlign w:val="bottom"/>
          </w:tcPr>
          <w:p w14:paraId="6D9EC7AF" w14:textId="77777777" w:rsidR="003D3187" w:rsidRDefault="00000000">
            <w:pPr>
              <w:spacing w:after="0" w:line="259" w:lineRule="auto"/>
              <w:ind w:left="0" w:right="1" w:firstLine="0"/>
              <w:jc w:val="right"/>
            </w:pPr>
            <w:r>
              <w:rPr>
                <w:sz w:val="20"/>
              </w:rPr>
              <w:t xml:space="preserve"> </w:t>
            </w:r>
          </w:p>
        </w:tc>
        <w:tc>
          <w:tcPr>
            <w:tcW w:w="1276" w:type="dxa"/>
            <w:tcBorders>
              <w:top w:val="nil"/>
              <w:left w:val="single" w:sz="4" w:space="0" w:color="000000"/>
              <w:bottom w:val="nil"/>
              <w:right w:val="single" w:sz="4" w:space="0" w:color="000000"/>
            </w:tcBorders>
            <w:vAlign w:val="bottom"/>
          </w:tcPr>
          <w:p w14:paraId="7F5F7CAE" w14:textId="77777777" w:rsidR="003D3187" w:rsidRDefault="00000000">
            <w:pPr>
              <w:spacing w:after="0" w:line="259" w:lineRule="auto"/>
              <w:ind w:left="0" w:right="57" w:firstLine="0"/>
              <w:jc w:val="right"/>
            </w:pPr>
            <w:r>
              <w:rPr>
                <w:sz w:val="20"/>
              </w:rPr>
              <w:t xml:space="preserve">(1.132) </w:t>
            </w:r>
          </w:p>
        </w:tc>
        <w:tc>
          <w:tcPr>
            <w:tcW w:w="1276" w:type="dxa"/>
            <w:tcBorders>
              <w:top w:val="nil"/>
              <w:left w:val="single" w:sz="4" w:space="0" w:color="000000"/>
              <w:bottom w:val="nil"/>
              <w:right w:val="single" w:sz="4" w:space="0" w:color="000000"/>
            </w:tcBorders>
            <w:vAlign w:val="bottom"/>
          </w:tcPr>
          <w:p w14:paraId="0D3F2603" w14:textId="77777777" w:rsidR="003D3187" w:rsidRDefault="00000000">
            <w:pPr>
              <w:spacing w:after="0" w:line="259" w:lineRule="auto"/>
              <w:ind w:left="0" w:right="57" w:firstLine="0"/>
              <w:jc w:val="right"/>
            </w:pPr>
            <w:r>
              <w:rPr>
                <w:sz w:val="20"/>
              </w:rPr>
              <w:t xml:space="preserve">1.132 </w:t>
            </w:r>
          </w:p>
        </w:tc>
        <w:tc>
          <w:tcPr>
            <w:tcW w:w="1155" w:type="dxa"/>
            <w:tcBorders>
              <w:top w:val="nil"/>
              <w:left w:val="single" w:sz="4" w:space="0" w:color="000000"/>
              <w:bottom w:val="nil"/>
              <w:right w:val="single" w:sz="4" w:space="0" w:color="000000"/>
            </w:tcBorders>
            <w:vAlign w:val="bottom"/>
          </w:tcPr>
          <w:p w14:paraId="4AA1EBE0" w14:textId="77777777" w:rsidR="003D3187" w:rsidRDefault="00000000">
            <w:pPr>
              <w:spacing w:after="0" w:line="259" w:lineRule="auto"/>
              <w:ind w:left="0" w:right="56" w:firstLine="0"/>
              <w:jc w:val="right"/>
            </w:pPr>
            <w:r>
              <w:rPr>
                <w:sz w:val="20"/>
              </w:rPr>
              <w:t xml:space="preserve">0.000 </w:t>
            </w:r>
          </w:p>
        </w:tc>
      </w:tr>
      <w:tr w:rsidR="003D3187" w14:paraId="0F90CB12" w14:textId="77777777">
        <w:trPr>
          <w:trHeight w:val="330"/>
        </w:trPr>
        <w:tc>
          <w:tcPr>
            <w:tcW w:w="3449" w:type="dxa"/>
            <w:tcBorders>
              <w:top w:val="nil"/>
              <w:left w:val="single" w:sz="4" w:space="0" w:color="000000"/>
              <w:bottom w:val="nil"/>
              <w:right w:val="single" w:sz="4" w:space="0" w:color="000000"/>
            </w:tcBorders>
          </w:tcPr>
          <w:p w14:paraId="55D3A467" w14:textId="77777777" w:rsidR="003D3187" w:rsidRDefault="00000000">
            <w:pPr>
              <w:spacing w:after="0" w:line="259" w:lineRule="auto"/>
              <w:ind w:left="0" w:firstLine="0"/>
            </w:pPr>
            <w:r>
              <w:rPr>
                <w:sz w:val="20"/>
              </w:rPr>
              <w:t xml:space="preserve">Recovery Grant </w:t>
            </w:r>
          </w:p>
        </w:tc>
        <w:tc>
          <w:tcPr>
            <w:tcW w:w="992" w:type="dxa"/>
            <w:tcBorders>
              <w:top w:val="nil"/>
              <w:left w:val="single" w:sz="4" w:space="0" w:color="000000"/>
              <w:bottom w:val="nil"/>
              <w:right w:val="single" w:sz="4" w:space="0" w:color="000000"/>
            </w:tcBorders>
          </w:tcPr>
          <w:p w14:paraId="3356F2EA" w14:textId="77777777" w:rsidR="003D3187" w:rsidRDefault="00000000">
            <w:pPr>
              <w:spacing w:after="0" w:line="259" w:lineRule="auto"/>
              <w:ind w:left="0" w:right="57" w:firstLine="0"/>
              <w:jc w:val="right"/>
            </w:pPr>
            <w:r>
              <w:rPr>
                <w:sz w:val="20"/>
              </w:rPr>
              <w:t xml:space="preserve">(11.115) </w:t>
            </w:r>
          </w:p>
        </w:tc>
        <w:tc>
          <w:tcPr>
            <w:tcW w:w="1370" w:type="dxa"/>
            <w:tcBorders>
              <w:top w:val="nil"/>
              <w:left w:val="single" w:sz="4" w:space="0" w:color="000000"/>
              <w:bottom w:val="nil"/>
              <w:right w:val="single" w:sz="4" w:space="0" w:color="000000"/>
            </w:tcBorders>
          </w:tcPr>
          <w:p w14:paraId="29B1B946" w14:textId="77777777" w:rsidR="003D3187" w:rsidRDefault="00000000">
            <w:pPr>
              <w:spacing w:after="0" w:line="259" w:lineRule="auto"/>
              <w:ind w:left="0" w:right="57" w:firstLine="0"/>
              <w:jc w:val="right"/>
            </w:pPr>
            <w:r>
              <w:rPr>
                <w:sz w:val="20"/>
              </w:rPr>
              <w:t xml:space="preserve">11.115 </w:t>
            </w:r>
          </w:p>
        </w:tc>
        <w:tc>
          <w:tcPr>
            <w:tcW w:w="1276" w:type="dxa"/>
            <w:tcBorders>
              <w:top w:val="nil"/>
              <w:left w:val="single" w:sz="4" w:space="0" w:color="000000"/>
              <w:bottom w:val="nil"/>
              <w:right w:val="single" w:sz="4" w:space="0" w:color="000000"/>
            </w:tcBorders>
          </w:tcPr>
          <w:p w14:paraId="221D8A19" w14:textId="77777777" w:rsidR="003D3187" w:rsidRDefault="00000000">
            <w:pPr>
              <w:spacing w:after="0" w:line="259" w:lineRule="auto"/>
              <w:ind w:left="0" w:right="57" w:firstLine="0"/>
              <w:jc w:val="right"/>
            </w:pPr>
            <w:r>
              <w:rPr>
                <w:sz w:val="20"/>
              </w:rPr>
              <w:t xml:space="preserve">0.000 </w:t>
            </w:r>
          </w:p>
        </w:tc>
        <w:tc>
          <w:tcPr>
            <w:tcW w:w="1276" w:type="dxa"/>
            <w:tcBorders>
              <w:top w:val="nil"/>
              <w:left w:val="single" w:sz="4" w:space="0" w:color="000000"/>
              <w:bottom w:val="nil"/>
              <w:right w:val="single" w:sz="4" w:space="0" w:color="000000"/>
            </w:tcBorders>
          </w:tcPr>
          <w:p w14:paraId="6247A87D" w14:textId="77777777" w:rsidR="003D3187" w:rsidRDefault="00000000">
            <w:pPr>
              <w:spacing w:after="0" w:line="259" w:lineRule="auto"/>
              <w:ind w:left="0" w:right="1" w:firstLine="0"/>
              <w:jc w:val="right"/>
            </w:pPr>
            <w:r>
              <w:rPr>
                <w:sz w:val="20"/>
              </w:rPr>
              <w:t xml:space="preserve"> </w:t>
            </w:r>
          </w:p>
        </w:tc>
        <w:tc>
          <w:tcPr>
            <w:tcW w:w="1155" w:type="dxa"/>
            <w:tcBorders>
              <w:top w:val="nil"/>
              <w:left w:val="single" w:sz="4" w:space="0" w:color="000000"/>
              <w:bottom w:val="nil"/>
              <w:right w:val="single" w:sz="4" w:space="0" w:color="000000"/>
            </w:tcBorders>
          </w:tcPr>
          <w:p w14:paraId="7217A138" w14:textId="77777777" w:rsidR="003D3187" w:rsidRDefault="00000000">
            <w:pPr>
              <w:spacing w:after="0" w:line="259" w:lineRule="auto"/>
              <w:ind w:left="0" w:right="56" w:firstLine="0"/>
              <w:jc w:val="right"/>
            </w:pPr>
            <w:r>
              <w:rPr>
                <w:sz w:val="20"/>
              </w:rPr>
              <w:t xml:space="preserve">0.000 </w:t>
            </w:r>
          </w:p>
        </w:tc>
      </w:tr>
      <w:tr w:rsidR="003D3187" w14:paraId="0D25DCFD" w14:textId="77777777">
        <w:trPr>
          <w:trHeight w:val="360"/>
        </w:trPr>
        <w:tc>
          <w:tcPr>
            <w:tcW w:w="3449" w:type="dxa"/>
            <w:tcBorders>
              <w:top w:val="nil"/>
              <w:left w:val="single" w:sz="4" w:space="0" w:color="000000"/>
              <w:bottom w:val="nil"/>
              <w:right w:val="single" w:sz="4" w:space="0" w:color="000000"/>
            </w:tcBorders>
          </w:tcPr>
          <w:p w14:paraId="40CB3067" w14:textId="77777777" w:rsidR="003D3187" w:rsidRDefault="00000000">
            <w:pPr>
              <w:spacing w:after="0" w:line="259" w:lineRule="auto"/>
              <w:ind w:left="0" w:firstLine="0"/>
              <w:jc w:val="both"/>
            </w:pPr>
            <w:r>
              <w:rPr>
                <w:sz w:val="20"/>
              </w:rPr>
              <w:t xml:space="preserve">Children’s Services Prevention Grant </w:t>
            </w:r>
          </w:p>
        </w:tc>
        <w:tc>
          <w:tcPr>
            <w:tcW w:w="992" w:type="dxa"/>
            <w:tcBorders>
              <w:top w:val="nil"/>
              <w:left w:val="single" w:sz="4" w:space="0" w:color="000000"/>
              <w:bottom w:val="nil"/>
              <w:right w:val="single" w:sz="4" w:space="0" w:color="000000"/>
            </w:tcBorders>
          </w:tcPr>
          <w:p w14:paraId="4E0CC878" w14:textId="77777777" w:rsidR="003D3187" w:rsidRDefault="00000000">
            <w:pPr>
              <w:spacing w:after="0" w:line="259" w:lineRule="auto"/>
              <w:ind w:left="0" w:right="57" w:firstLine="0"/>
              <w:jc w:val="right"/>
            </w:pPr>
            <w:r>
              <w:rPr>
                <w:sz w:val="20"/>
              </w:rPr>
              <w:t xml:space="preserve">(3.688) </w:t>
            </w:r>
          </w:p>
        </w:tc>
        <w:tc>
          <w:tcPr>
            <w:tcW w:w="1370" w:type="dxa"/>
            <w:tcBorders>
              <w:top w:val="nil"/>
              <w:left w:val="single" w:sz="4" w:space="0" w:color="000000"/>
              <w:bottom w:val="nil"/>
              <w:right w:val="single" w:sz="4" w:space="0" w:color="000000"/>
            </w:tcBorders>
          </w:tcPr>
          <w:p w14:paraId="5B737065" w14:textId="77777777" w:rsidR="003D3187" w:rsidRDefault="00000000">
            <w:pPr>
              <w:spacing w:after="0" w:line="259" w:lineRule="auto"/>
              <w:ind w:left="0" w:right="57" w:firstLine="0"/>
              <w:jc w:val="right"/>
            </w:pPr>
            <w:r>
              <w:rPr>
                <w:sz w:val="20"/>
              </w:rPr>
              <w:t xml:space="preserve">0.237 </w:t>
            </w:r>
          </w:p>
        </w:tc>
        <w:tc>
          <w:tcPr>
            <w:tcW w:w="1276" w:type="dxa"/>
            <w:tcBorders>
              <w:top w:val="nil"/>
              <w:left w:val="single" w:sz="4" w:space="0" w:color="000000"/>
              <w:bottom w:val="nil"/>
              <w:right w:val="single" w:sz="4" w:space="0" w:color="000000"/>
            </w:tcBorders>
          </w:tcPr>
          <w:p w14:paraId="76ABB37F" w14:textId="77777777" w:rsidR="003D3187" w:rsidRDefault="00000000">
            <w:pPr>
              <w:spacing w:after="0" w:line="259" w:lineRule="auto"/>
              <w:ind w:left="0" w:right="57" w:firstLine="0"/>
              <w:jc w:val="right"/>
            </w:pPr>
            <w:r>
              <w:rPr>
                <w:sz w:val="20"/>
              </w:rPr>
              <w:t xml:space="preserve">(3.451) </w:t>
            </w:r>
          </w:p>
        </w:tc>
        <w:tc>
          <w:tcPr>
            <w:tcW w:w="1276" w:type="dxa"/>
            <w:tcBorders>
              <w:top w:val="nil"/>
              <w:left w:val="single" w:sz="4" w:space="0" w:color="000000"/>
              <w:bottom w:val="nil"/>
              <w:right w:val="single" w:sz="4" w:space="0" w:color="000000"/>
            </w:tcBorders>
          </w:tcPr>
          <w:p w14:paraId="3412030D" w14:textId="77777777" w:rsidR="003D3187" w:rsidRDefault="00000000">
            <w:pPr>
              <w:spacing w:after="0" w:line="259" w:lineRule="auto"/>
              <w:ind w:left="0" w:right="57" w:firstLine="0"/>
              <w:jc w:val="right"/>
            </w:pPr>
            <w:r>
              <w:rPr>
                <w:sz w:val="20"/>
              </w:rPr>
              <w:t xml:space="preserve">(0.242) </w:t>
            </w:r>
          </w:p>
        </w:tc>
        <w:tc>
          <w:tcPr>
            <w:tcW w:w="1155" w:type="dxa"/>
            <w:tcBorders>
              <w:top w:val="nil"/>
              <w:left w:val="single" w:sz="4" w:space="0" w:color="000000"/>
              <w:bottom w:val="nil"/>
              <w:right w:val="single" w:sz="4" w:space="0" w:color="000000"/>
            </w:tcBorders>
          </w:tcPr>
          <w:p w14:paraId="320BE390" w14:textId="77777777" w:rsidR="003D3187" w:rsidRDefault="00000000">
            <w:pPr>
              <w:spacing w:after="0" w:line="259" w:lineRule="auto"/>
              <w:ind w:left="0" w:right="56" w:firstLine="0"/>
              <w:jc w:val="right"/>
            </w:pPr>
            <w:r>
              <w:rPr>
                <w:sz w:val="20"/>
              </w:rPr>
              <w:t xml:space="preserve">(3.693) </w:t>
            </w:r>
          </w:p>
        </w:tc>
      </w:tr>
      <w:tr w:rsidR="003D3187" w14:paraId="03DEA0CC" w14:textId="77777777">
        <w:trPr>
          <w:trHeight w:val="502"/>
        </w:trPr>
        <w:tc>
          <w:tcPr>
            <w:tcW w:w="3449" w:type="dxa"/>
            <w:vMerge w:val="restart"/>
            <w:tcBorders>
              <w:top w:val="nil"/>
              <w:left w:val="single" w:sz="4" w:space="0" w:color="000000"/>
              <w:bottom w:val="single" w:sz="4" w:space="0" w:color="000000"/>
              <w:right w:val="single" w:sz="4" w:space="0" w:color="000000"/>
            </w:tcBorders>
          </w:tcPr>
          <w:p w14:paraId="009B88F1" w14:textId="77777777" w:rsidR="003D3187" w:rsidRDefault="00000000">
            <w:pPr>
              <w:spacing w:after="0" w:line="259" w:lineRule="auto"/>
              <w:ind w:left="0" w:firstLine="0"/>
            </w:pPr>
            <w:r>
              <w:rPr>
                <w:sz w:val="20"/>
              </w:rPr>
              <w:t xml:space="preserve">Employer National Insurance </w:t>
            </w:r>
          </w:p>
          <w:p w14:paraId="69E12D69" w14:textId="77777777" w:rsidR="003D3187" w:rsidRDefault="00000000">
            <w:pPr>
              <w:spacing w:after="103" w:line="259" w:lineRule="auto"/>
              <w:ind w:left="0" w:firstLine="0"/>
            </w:pPr>
            <w:r>
              <w:rPr>
                <w:sz w:val="20"/>
              </w:rPr>
              <w:t xml:space="preserve">Contributions Grant </w:t>
            </w:r>
          </w:p>
          <w:p w14:paraId="7E980742" w14:textId="77777777" w:rsidR="003D3187" w:rsidRDefault="00000000">
            <w:pPr>
              <w:spacing w:after="92" w:line="259" w:lineRule="auto"/>
              <w:ind w:left="0" w:firstLine="0"/>
              <w:jc w:val="both"/>
            </w:pPr>
            <w:r>
              <w:rPr>
                <w:b/>
                <w:sz w:val="20"/>
              </w:rPr>
              <w:t xml:space="preserve">Other Core Spending Power Items  </w:t>
            </w:r>
          </w:p>
          <w:p w14:paraId="295B6CC8" w14:textId="77777777" w:rsidR="003D3187" w:rsidRDefault="00000000">
            <w:pPr>
              <w:spacing w:after="0" w:line="259" w:lineRule="auto"/>
              <w:ind w:left="0" w:firstLine="0"/>
            </w:pPr>
            <w:r>
              <w:rPr>
                <w:sz w:val="20"/>
              </w:rPr>
              <w:t xml:space="preserve"> </w:t>
            </w:r>
          </w:p>
          <w:p w14:paraId="33690D99" w14:textId="77777777" w:rsidR="003D3187" w:rsidRDefault="00000000">
            <w:pPr>
              <w:spacing w:after="0" w:line="259" w:lineRule="auto"/>
              <w:ind w:left="0" w:firstLine="0"/>
            </w:pPr>
            <w:r>
              <w:rPr>
                <w:b/>
                <w:sz w:val="20"/>
              </w:rPr>
              <w:t xml:space="preserve">Total on like for like basis </w:t>
            </w:r>
          </w:p>
        </w:tc>
        <w:tc>
          <w:tcPr>
            <w:tcW w:w="992" w:type="dxa"/>
            <w:tcBorders>
              <w:top w:val="nil"/>
              <w:left w:val="single" w:sz="4" w:space="0" w:color="000000"/>
              <w:bottom w:val="single" w:sz="4" w:space="0" w:color="000000"/>
              <w:right w:val="single" w:sz="4" w:space="0" w:color="000000"/>
            </w:tcBorders>
            <w:vAlign w:val="bottom"/>
          </w:tcPr>
          <w:p w14:paraId="603B715C" w14:textId="77777777" w:rsidR="003D3187" w:rsidRDefault="00000000">
            <w:pPr>
              <w:spacing w:after="0" w:line="259" w:lineRule="auto"/>
              <w:ind w:left="0" w:right="57" w:firstLine="0"/>
              <w:jc w:val="right"/>
            </w:pPr>
            <w:r>
              <w:rPr>
                <w:sz w:val="20"/>
              </w:rPr>
              <w:t xml:space="preserve">(3.877) </w:t>
            </w:r>
          </w:p>
        </w:tc>
        <w:tc>
          <w:tcPr>
            <w:tcW w:w="1370" w:type="dxa"/>
            <w:tcBorders>
              <w:top w:val="nil"/>
              <w:left w:val="single" w:sz="4" w:space="0" w:color="000000"/>
              <w:bottom w:val="single" w:sz="4" w:space="0" w:color="000000"/>
              <w:right w:val="single" w:sz="4" w:space="0" w:color="000000"/>
            </w:tcBorders>
            <w:vAlign w:val="bottom"/>
          </w:tcPr>
          <w:p w14:paraId="6378BAE6" w14:textId="77777777" w:rsidR="003D3187" w:rsidRDefault="00000000">
            <w:pPr>
              <w:spacing w:after="0" w:line="259" w:lineRule="auto"/>
              <w:ind w:left="0" w:right="57" w:firstLine="0"/>
              <w:jc w:val="right"/>
            </w:pPr>
            <w:r>
              <w:rPr>
                <w:sz w:val="20"/>
              </w:rPr>
              <w:t xml:space="preserve">3.877 </w:t>
            </w:r>
          </w:p>
        </w:tc>
        <w:tc>
          <w:tcPr>
            <w:tcW w:w="1276" w:type="dxa"/>
            <w:tcBorders>
              <w:top w:val="nil"/>
              <w:left w:val="single" w:sz="4" w:space="0" w:color="000000"/>
              <w:bottom w:val="single" w:sz="4" w:space="0" w:color="000000"/>
              <w:right w:val="single" w:sz="4" w:space="0" w:color="000000"/>
            </w:tcBorders>
            <w:vAlign w:val="bottom"/>
          </w:tcPr>
          <w:p w14:paraId="29A6F9A6" w14:textId="77777777" w:rsidR="003D3187" w:rsidRDefault="00000000">
            <w:pPr>
              <w:spacing w:after="0" w:line="259" w:lineRule="auto"/>
              <w:ind w:left="0" w:right="57" w:firstLine="0"/>
              <w:jc w:val="right"/>
            </w:pPr>
            <w:r>
              <w:rPr>
                <w:sz w:val="20"/>
              </w:rPr>
              <w:t xml:space="preserve">0.000 </w:t>
            </w:r>
          </w:p>
        </w:tc>
        <w:tc>
          <w:tcPr>
            <w:tcW w:w="1276" w:type="dxa"/>
            <w:tcBorders>
              <w:top w:val="nil"/>
              <w:left w:val="single" w:sz="4" w:space="0" w:color="000000"/>
              <w:bottom w:val="single" w:sz="4" w:space="0" w:color="000000"/>
              <w:right w:val="single" w:sz="4" w:space="0" w:color="000000"/>
            </w:tcBorders>
            <w:vAlign w:val="bottom"/>
          </w:tcPr>
          <w:p w14:paraId="05C424F5" w14:textId="77777777" w:rsidR="003D3187" w:rsidRDefault="00000000">
            <w:pPr>
              <w:spacing w:after="0" w:line="259" w:lineRule="auto"/>
              <w:ind w:left="0" w:right="1" w:firstLine="0"/>
              <w:jc w:val="right"/>
            </w:pPr>
            <w:r>
              <w:rPr>
                <w:sz w:val="20"/>
              </w:rPr>
              <w:t xml:space="preserve"> </w:t>
            </w:r>
          </w:p>
        </w:tc>
        <w:tc>
          <w:tcPr>
            <w:tcW w:w="1155" w:type="dxa"/>
            <w:tcBorders>
              <w:top w:val="nil"/>
              <w:left w:val="single" w:sz="4" w:space="0" w:color="000000"/>
              <w:bottom w:val="single" w:sz="4" w:space="0" w:color="000000"/>
              <w:right w:val="single" w:sz="4" w:space="0" w:color="000000"/>
            </w:tcBorders>
            <w:vAlign w:val="bottom"/>
          </w:tcPr>
          <w:p w14:paraId="50CA81B3" w14:textId="77777777" w:rsidR="003D3187" w:rsidRDefault="00000000">
            <w:pPr>
              <w:spacing w:after="0" w:line="259" w:lineRule="auto"/>
              <w:ind w:left="0" w:right="56" w:firstLine="0"/>
              <w:jc w:val="right"/>
            </w:pPr>
            <w:r>
              <w:rPr>
                <w:sz w:val="20"/>
              </w:rPr>
              <w:t xml:space="preserve">0.000 </w:t>
            </w:r>
          </w:p>
        </w:tc>
      </w:tr>
      <w:tr w:rsidR="003D3187" w14:paraId="0D79B12A" w14:textId="77777777">
        <w:trPr>
          <w:trHeight w:val="351"/>
        </w:trPr>
        <w:tc>
          <w:tcPr>
            <w:tcW w:w="0" w:type="auto"/>
            <w:vMerge/>
            <w:tcBorders>
              <w:top w:val="nil"/>
              <w:left w:val="single" w:sz="4" w:space="0" w:color="000000"/>
              <w:bottom w:val="nil"/>
              <w:right w:val="single" w:sz="4" w:space="0" w:color="000000"/>
            </w:tcBorders>
          </w:tcPr>
          <w:p w14:paraId="0ECB73C0" w14:textId="77777777" w:rsidR="003D3187" w:rsidRDefault="003D3187">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vAlign w:val="bottom"/>
          </w:tcPr>
          <w:p w14:paraId="2E2444B9" w14:textId="77777777" w:rsidR="003D3187" w:rsidRDefault="00000000">
            <w:pPr>
              <w:spacing w:after="0" w:line="259" w:lineRule="auto"/>
              <w:ind w:left="0" w:right="57" w:firstLine="0"/>
              <w:jc w:val="right"/>
            </w:pPr>
            <w:r>
              <w:rPr>
                <w:b/>
                <w:sz w:val="20"/>
              </w:rPr>
              <w:t xml:space="preserve">(90.991) </w:t>
            </w:r>
          </w:p>
        </w:tc>
        <w:tc>
          <w:tcPr>
            <w:tcW w:w="1370" w:type="dxa"/>
            <w:tcBorders>
              <w:top w:val="single" w:sz="4" w:space="0" w:color="000000"/>
              <w:left w:val="single" w:sz="4" w:space="0" w:color="000000"/>
              <w:bottom w:val="single" w:sz="4" w:space="0" w:color="000000"/>
              <w:right w:val="single" w:sz="4" w:space="0" w:color="000000"/>
            </w:tcBorders>
            <w:vAlign w:val="bottom"/>
          </w:tcPr>
          <w:p w14:paraId="406D3AFC" w14:textId="77777777" w:rsidR="003D3187" w:rsidRDefault="00000000">
            <w:pPr>
              <w:spacing w:after="0" w:line="259" w:lineRule="auto"/>
              <w:ind w:left="0" w:right="57" w:firstLine="0"/>
              <w:jc w:val="right"/>
            </w:pPr>
            <w:r>
              <w:rPr>
                <w:b/>
                <w:sz w:val="20"/>
              </w:rPr>
              <w:t xml:space="preserve">16.377 </w:t>
            </w:r>
          </w:p>
        </w:tc>
        <w:tc>
          <w:tcPr>
            <w:tcW w:w="1276" w:type="dxa"/>
            <w:tcBorders>
              <w:top w:val="single" w:sz="4" w:space="0" w:color="000000"/>
              <w:left w:val="single" w:sz="4" w:space="0" w:color="000000"/>
              <w:bottom w:val="single" w:sz="4" w:space="0" w:color="000000"/>
              <w:right w:val="single" w:sz="4" w:space="0" w:color="000000"/>
            </w:tcBorders>
            <w:vAlign w:val="bottom"/>
          </w:tcPr>
          <w:p w14:paraId="397C9DDA" w14:textId="77777777" w:rsidR="003D3187" w:rsidRDefault="00000000">
            <w:pPr>
              <w:spacing w:after="0" w:line="259" w:lineRule="auto"/>
              <w:ind w:left="0" w:right="57" w:firstLine="0"/>
              <w:jc w:val="right"/>
            </w:pPr>
            <w:r>
              <w:rPr>
                <w:b/>
                <w:sz w:val="20"/>
              </w:rPr>
              <w:t xml:space="preserve">(74.614) </w:t>
            </w:r>
          </w:p>
        </w:tc>
        <w:tc>
          <w:tcPr>
            <w:tcW w:w="1276" w:type="dxa"/>
            <w:tcBorders>
              <w:top w:val="single" w:sz="4" w:space="0" w:color="000000"/>
              <w:left w:val="single" w:sz="4" w:space="0" w:color="000000"/>
              <w:bottom w:val="single" w:sz="4" w:space="0" w:color="000000"/>
              <w:right w:val="single" w:sz="4" w:space="0" w:color="000000"/>
            </w:tcBorders>
            <w:vAlign w:val="bottom"/>
          </w:tcPr>
          <w:p w14:paraId="7CC098E5" w14:textId="77777777" w:rsidR="003D3187" w:rsidRDefault="00000000">
            <w:pPr>
              <w:spacing w:after="0" w:line="259" w:lineRule="auto"/>
              <w:ind w:left="0" w:right="57" w:firstLine="0"/>
              <w:jc w:val="right"/>
            </w:pPr>
            <w:r>
              <w:rPr>
                <w:b/>
                <w:sz w:val="20"/>
              </w:rPr>
              <w:t xml:space="preserve">50.439 </w:t>
            </w:r>
          </w:p>
        </w:tc>
        <w:tc>
          <w:tcPr>
            <w:tcW w:w="1155" w:type="dxa"/>
            <w:tcBorders>
              <w:top w:val="single" w:sz="4" w:space="0" w:color="000000"/>
              <w:left w:val="single" w:sz="4" w:space="0" w:color="000000"/>
              <w:bottom w:val="single" w:sz="4" w:space="0" w:color="000000"/>
              <w:right w:val="single" w:sz="4" w:space="0" w:color="000000"/>
            </w:tcBorders>
            <w:vAlign w:val="bottom"/>
          </w:tcPr>
          <w:p w14:paraId="03B68E31" w14:textId="77777777" w:rsidR="003D3187" w:rsidRDefault="00000000">
            <w:pPr>
              <w:spacing w:after="0" w:line="259" w:lineRule="auto"/>
              <w:ind w:left="0" w:right="56" w:firstLine="0"/>
              <w:jc w:val="right"/>
            </w:pPr>
            <w:r>
              <w:rPr>
                <w:b/>
                <w:sz w:val="20"/>
              </w:rPr>
              <w:t xml:space="preserve">(24.175) </w:t>
            </w:r>
          </w:p>
        </w:tc>
      </w:tr>
      <w:tr w:rsidR="003D3187" w14:paraId="38F9ECB5" w14:textId="77777777">
        <w:trPr>
          <w:trHeight w:val="586"/>
        </w:trPr>
        <w:tc>
          <w:tcPr>
            <w:tcW w:w="0" w:type="auto"/>
            <w:vMerge/>
            <w:tcBorders>
              <w:top w:val="nil"/>
              <w:left w:val="single" w:sz="4" w:space="0" w:color="000000"/>
              <w:bottom w:val="single" w:sz="4" w:space="0" w:color="000000"/>
              <w:right w:val="single" w:sz="4" w:space="0" w:color="000000"/>
            </w:tcBorders>
          </w:tcPr>
          <w:p w14:paraId="108E570D" w14:textId="77777777" w:rsidR="003D3187" w:rsidRDefault="003D3187">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vAlign w:val="bottom"/>
          </w:tcPr>
          <w:p w14:paraId="3FAE4971" w14:textId="77777777" w:rsidR="003D3187" w:rsidRDefault="00000000">
            <w:pPr>
              <w:spacing w:after="0" w:line="259" w:lineRule="auto"/>
              <w:ind w:left="1" w:firstLine="0"/>
            </w:pPr>
            <w:r>
              <w:rPr>
                <w:sz w:val="20"/>
              </w:rPr>
              <w:t xml:space="preserve"> </w:t>
            </w:r>
          </w:p>
          <w:p w14:paraId="1C4444FA" w14:textId="77777777" w:rsidR="003D3187" w:rsidRDefault="00000000">
            <w:pPr>
              <w:spacing w:after="0" w:line="259" w:lineRule="auto"/>
              <w:ind w:left="23" w:firstLine="0"/>
              <w:jc w:val="both"/>
            </w:pPr>
            <w:r>
              <w:rPr>
                <w:b/>
                <w:sz w:val="20"/>
              </w:rPr>
              <w:t xml:space="preserve">(422.791) </w:t>
            </w:r>
          </w:p>
        </w:tc>
        <w:tc>
          <w:tcPr>
            <w:tcW w:w="1370" w:type="dxa"/>
            <w:tcBorders>
              <w:top w:val="single" w:sz="4" w:space="0" w:color="000000"/>
              <w:left w:val="single" w:sz="4" w:space="0" w:color="000000"/>
              <w:bottom w:val="single" w:sz="4" w:space="0" w:color="000000"/>
              <w:right w:val="single" w:sz="4" w:space="0" w:color="000000"/>
            </w:tcBorders>
            <w:vAlign w:val="bottom"/>
          </w:tcPr>
          <w:p w14:paraId="0216E4E5" w14:textId="77777777" w:rsidR="003D3187" w:rsidRDefault="00000000">
            <w:pPr>
              <w:spacing w:after="0" w:line="259" w:lineRule="auto"/>
              <w:ind w:left="1" w:firstLine="0"/>
            </w:pPr>
            <w:r>
              <w:rPr>
                <w:sz w:val="20"/>
              </w:rPr>
              <w:t xml:space="preserve"> </w:t>
            </w:r>
          </w:p>
          <w:p w14:paraId="4357CFE7" w14:textId="77777777" w:rsidR="003D3187" w:rsidRDefault="00000000">
            <w:pPr>
              <w:spacing w:after="0" w:line="259" w:lineRule="auto"/>
              <w:ind w:left="0" w:right="57" w:firstLine="0"/>
              <w:jc w:val="right"/>
            </w:pPr>
            <w:r>
              <w:rPr>
                <w:b/>
                <w:sz w:val="20"/>
              </w:rPr>
              <w:t xml:space="preserve">(3.695) </w:t>
            </w:r>
          </w:p>
        </w:tc>
        <w:tc>
          <w:tcPr>
            <w:tcW w:w="1276" w:type="dxa"/>
            <w:tcBorders>
              <w:top w:val="single" w:sz="4" w:space="0" w:color="000000"/>
              <w:left w:val="single" w:sz="4" w:space="0" w:color="000000"/>
              <w:bottom w:val="single" w:sz="4" w:space="0" w:color="000000"/>
              <w:right w:val="single" w:sz="4" w:space="0" w:color="000000"/>
            </w:tcBorders>
            <w:vAlign w:val="bottom"/>
          </w:tcPr>
          <w:p w14:paraId="1ACF98EE" w14:textId="77777777" w:rsidR="003D3187" w:rsidRDefault="00000000">
            <w:pPr>
              <w:spacing w:after="0" w:line="259" w:lineRule="auto"/>
              <w:ind w:left="1" w:firstLine="0"/>
            </w:pPr>
            <w:r>
              <w:rPr>
                <w:sz w:val="20"/>
              </w:rPr>
              <w:t xml:space="preserve"> </w:t>
            </w:r>
          </w:p>
          <w:p w14:paraId="292A9BEF" w14:textId="77777777" w:rsidR="003D3187" w:rsidRDefault="00000000">
            <w:pPr>
              <w:spacing w:after="0" w:line="259" w:lineRule="auto"/>
              <w:ind w:left="0" w:right="57" w:firstLine="0"/>
              <w:jc w:val="right"/>
            </w:pPr>
            <w:r>
              <w:rPr>
                <w:b/>
                <w:sz w:val="20"/>
              </w:rPr>
              <w:t xml:space="preserve">(426.486) </w:t>
            </w:r>
          </w:p>
        </w:tc>
        <w:tc>
          <w:tcPr>
            <w:tcW w:w="1276" w:type="dxa"/>
            <w:tcBorders>
              <w:top w:val="single" w:sz="4" w:space="0" w:color="000000"/>
              <w:left w:val="single" w:sz="4" w:space="0" w:color="000000"/>
              <w:bottom w:val="single" w:sz="4" w:space="0" w:color="000000"/>
              <w:right w:val="single" w:sz="4" w:space="0" w:color="000000"/>
            </w:tcBorders>
            <w:vAlign w:val="bottom"/>
          </w:tcPr>
          <w:p w14:paraId="62ACDF83" w14:textId="77777777" w:rsidR="003D3187" w:rsidRDefault="00000000">
            <w:pPr>
              <w:spacing w:after="0" w:line="259" w:lineRule="auto"/>
              <w:ind w:left="1" w:firstLine="0"/>
            </w:pPr>
            <w:r>
              <w:rPr>
                <w:sz w:val="20"/>
              </w:rPr>
              <w:t xml:space="preserve"> </w:t>
            </w:r>
          </w:p>
          <w:p w14:paraId="1D078D91" w14:textId="77777777" w:rsidR="003D3187" w:rsidRDefault="00000000">
            <w:pPr>
              <w:spacing w:after="0" w:line="259" w:lineRule="auto"/>
              <w:ind w:left="0" w:right="57" w:firstLine="0"/>
              <w:jc w:val="right"/>
            </w:pPr>
            <w:r>
              <w:rPr>
                <w:b/>
                <w:sz w:val="20"/>
              </w:rPr>
              <w:t xml:space="preserve">(22.507) </w:t>
            </w:r>
          </w:p>
        </w:tc>
        <w:tc>
          <w:tcPr>
            <w:tcW w:w="1155" w:type="dxa"/>
            <w:tcBorders>
              <w:top w:val="single" w:sz="4" w:space="0" w:color="000000"/>
              <w:left w:val="single" w:sz="4" w:space="0" w:color="000000"/>
              <w:bottom w:val="single" w:sz="4" w:space="0" w:color="000000"/>
              <w:right w:val="single" w:sz="4" w:space="0" w:color="000000"/>
            </w:tcBorders>
            <w:vAlign w:val="bottom"/>
          </w:tcPr>
          <w:p w14:paraId="45CEB982" w14:textId="77777777" w:rsidR="003D3187" w:rsidRDefault="00000000">
            <w:pPr>
              <w:spacing w:after="0" w:line="259" w:lineRule="auto"/>
              <w:ind w:left="1" w:firstLine="0"/>
            </w:pPr>
            <w:r>
              <w:rPr>
                <w:sz w:val="20"/>
              </w:rPr>
              <w:t xml:space="preserve"> </w:t>
            </w:r>
          </w:p>
          <w:p w14:paraId="26AF9528" w14:textId="77777777" w:rsidR="003D3187" w:rsidRDefault="00000000">
            <w:pPr>
              <w:spacing w:after="0" w:line="259" w:lineRule="auto"/>
              <w:ind w:left="0" w:right="56" w:firstLine="0"/>
              <w:jc w:val="right"/>
            </w:pPr>
            <w:r>
              <w:rPr>
                <w:b/>
                <w:sz w:val="20"/>
              </w:rPr>
              <w:t xml:space="preserve">(448.993) </w:t>
            </w:r>
          </w:p>
        </w:tc>
      </w:tr>
    </w:tbl>
    <w:p w14:paraId="66FAB90A" w14:textId="77777777" w:rsidR="003D3187" w:rsidRDefault="00000000">
      <w:pPr>
        <w:spacing w:after="0" w:line="259" w:lineRule="auto"/>
        <w:ind w:left="1134" w:firstLine="0"/>
      </w:pPr>
      <w:r>
        <w:rPr>
          <w:b/>
          <w:sz w:val="22"/>
        </w:rPr>
        <w:t xml:space="preserve"> </w:t>
      </w:r>
    </w:p>
    <w:p w14:paraId="3B9993F1" w14:textId="77777777" w:rsidR="003D3187" w:rsidRDefault="00000000">
      <w:pPr>
        <w:pStyle w:val="Heading1"/>
        <w:spacing w:after="143"/>
        <w:ind w:left="784" w:right="533"/>
      </w:pPr>
      <w:r>
        <w:t>4.</w:t>
      </w:r>
      <w:r>
        <w:rPr>
          <w:rFonts w:ascii="Calibri" w:eastAsia="Calibri" w:hAnsi="Calibri" w:cs="Calibri"/>
          <w:sz w:val="22"/>
        </w:rPr>
        <w:t xml:space="preserve"> </w:t>
      </w:r>
      <w:r>
        <w:t>Budget Changes between 2025/26 and 2026/27</w:t>
      </w:r>
      <w:r>
        <w:rPr>
          <w:rFonts w:ascii="Calibri" w:eastAsia="Calibri" w:hAnsi="Calibri" w:cs="Calibri"/>
          <w:sz w:val="22"/>
        </w:rPr>
        <w:t xml:space="preserve"> </w:t>
      </w:r>
    </w:p>
    <w:p w14:paraId="0DCD6031" w14:textId="77777777" w:rsidR="003D3187" w:rsidRDefault="00000000">
      <w:pPr>
        <w:spacing w:after="0" w:line="259" w:lineRule="auto"/>
        <w:ind w:left="981" w:firstLine="0"/>
      </w:pPr>
      <w:r>
        <w:t xml:space="preserve"> </w:t>
      </w:r>
    </w:p>
    <w:p w14:paraId="1AEFF0E6" w14:textId="77777777" w:rsidR="003D3187" w:rsidRDefault="00000000">
      <w:pPr>
        <w:ind w:left="1336" w:right="450"/>
      </w:pPr>
      <w:r>
        <w:t xml:space="preserve">4.1 The waterfall model below visually explains the movement in the budget between 2025/26 and 2026/27.  It moves from a structural deficit of £20.8m, which is the element of the budget funded by capital receipts through the EFS mechanism, through inflation, service growth and the writing out of service grant budgets before taking account of savings and the various funding changes to arrive at a highly provisional overall General Fund surplus. </w:t>
      </w:r>
    </w:p>
    <w:p w14:paraId="01F96AC5" w14:textId="77777777" w:rsidR="003D3187" w:rsidRDefault="00000000">
      <w:pPr>
        <w:ind w:left="1336" w:right="450"/>
      </w:pPr>
      <w:r>
        <w:t xml:space="preserve">4.2 The benefit from Fair Funding is significant but the majority of the growth in the core budget is the consolidation of funding and is presentational.  The resources have changed their categorisation but over time the benefit from the flexibility over how resources are deployed in the service should lead to better localised decision making over Whitehall driven prioritisation. </w:t>
      </w:r>
    </w:p>
    <w:p w14:paraId="5881B86B" w14:textId="77777777" w:rsidR="003D3187" w:rsidRDefault="00000000">
      <w:pPr>
        <w:pStyle w:val="Heading1"/>
        <w:ind w:left="976" w:right="533"/>
      </w:pPr>
      <w:r>
        <w:t xml:space="preserve">Table 5: Net Revenue Budget Changes: 2025/26 to 2026/27 </w:t>
      </w:r>
    </w:p>
    <w:p w14:paraId="038CCB33" w14:textId="77777777" w:rsidR="003D3187" w:rsidRDefault="00000000">
      <w:pPr>
        <w:spacing w:after="0" w:line="259" w:lineRule="auto"/>
        <w:ind w:left="981" w:firstLine="0"/>
      </w:pPr>
      <w:r>
        <w:t xml:space="preserve"> </w:t>
      </w:r>
    </w:p>
    <w:p w14:paraId="4B5C2457" w14:textId="77777777" w:rsidR="003D3187" w:rsidRDefault="00000000">
      <w:pPr>
        <w:spacing w:after="0"/>
        <w:ind w:left="1336" w:right="450"/>
      </w:pPr>
      <w:r>
        <w:t>4.3</w:t>
      </w:r>
      <w:r>
        <w:rPr>
          <w:rFonts w:ascii="Calibri" w:eastAsia="Calibri" w:hAnsi="Calibri" w:cs="Calibri"/>
          <w:sz w:val="22"/>
        </w:rPr>
        <w:t xml:space="preserve"> </w:t>
      </w:r>
      <w:r>
        <w:t>The next table details the various changes to the elements over the life of the Medium-Term Financial Plan.</w:t>
      </w:r>
      <w:r>
        <w:rPr>
          <w:rFonts w:ascii="Calibri" w:eastAsia="Calibri" w:hAnsi="Calibri" w:cs="Calibri"/>
          <w:sz w:val="22"/>
        </w:rPr>
        <w:t xml:space="preserve"> </w:t>
      </w:r>
    </w:p>
    <w:p w14:paraId="28EAFC04" w14:textId="77777777" w:rsidR="003D3187" w:rsidRDefault="00000000">
      <w:pPr>
        <w:spacing w:after="95" w:line="259" w:lineRule="auto"/>
        <w:ind w:left="0" w:right="333" w:firstLine="0"/>
        <w:jc w:val="right"/>
      </w:pPr>
      <w:r>
        <w:rPr>
          <w:noProof/>
        </w:rPr>
        <w:drawing>
          <wp:inline distT="0" distB="0" distL="0" distR="0" wp14:anchorId="13BF95E3" wp14:editId="37E5E47B">
            <wp:extent cx="5419725" cy="4352925"/>
            <wp:effectExtent l="0" t="0" r="0" b="0"/>
            <wp:docPr id="1192" name="Picture 1192"/>
            <wp:cNvGraphicFramePr/>
            <a:graphic xmlns:a="http://schemas.openxmlformats.org/drawingml/2006/main">
              <a:graphicData uri="http://schemas.openxmlformats.org/drawingml/2006/picture">
                <pic:pic xmlns:pic="http://schemas.openxmlformats.org/drawingml/2006/picture">
                  <pic:nvPicPr>
                    <pic:cNvPr id="1192" name="Picture 1192"/>
                    <pic:cNvPicPr/>
                  </pic:nvPicPr>
                  <pic:blipFill>
                    <a:blip r:embed="rId7"/>
                    <a:stretch>
                      <a:fillRect/>
                    </a:stretch>
                  </pic:blipFill>
                  <pic:spPr>
                    <a:xfrm>
                      <a:off x="0" y="0"/>
                      <a:ext cx="5419725" cy="4352925"/>
                    </a:xfrm>
                    <a:prstGeom prst="rect">
                      <a:avLst/>
                    </a:prstGeom>
                  </pic:spPr>
                </pic:pic>
              </a:graphicData>
            </a:graphic>
          </wp:inline>
        </w:drawing>
      </w:r>
      <w:r>
        <w:rPr>
          <w:rFonts w:ascii="Calibri" w:eastAsia="Calibri" w:hAnsi="Calibri" w:cs="Calibri"/>
          <w:sz w:val="22"/>
        </w:rPr>
        <w:t xml:space="preserve"> </w:t>
      </w:r>
    </w:p>
    <w:p w14:paraId="59D2FA32" w14:textId="77777777" w:rsidR="003D3187" w:rsidRDefault="00000000">
      <w:pPr>
        <w:spacing w:after="138" w:line="259" w:lineRule="auto"/>
        <w:ind w:left="774" w:firstLine="0"/>
      </w:pPr>
      <w:r>
        <w:rPr>
          <w:b/>
        </w:rPr>
        <w:t xml:space="preserve"> </w:t>
      </w:r>
    </w:p>
    <w:p w14:paraId="0DD53AB7" w14:textId="77777777" w:rsidR="003D3187" w:rsidRDefault="00000000">
      <w:pPr>
        <w:pStyle w:val="Heading1"/>
        <w:ind w:left="976" w:right="533"/>
      </w:pPr>
      <w:r>
        <w:t>Table 6: Net Revenue Budget Changes over the MTFP 2026/27 through 2029/30</w:t>
      </w:r>
      <w:r>
        <w:rPr>
          <w:b w:val="0"/>
        </w:rPr>
        <w:t xml:space="preserve"> </w:t>
      </w:r>
    </w:p>
    <w:tbl>
      <w:tblPr>
        <w:tblStyle w:val="TableGrid"/>
        <w:tblW w:w="9013" w:type="dxa"/>
        <w:tblInd w:w="987" w:type="dxa"/>
        <w:tblCellMar>
          <w:top w:w="0" w:type="dxa"/>
          <w:left w:w="0" w:type="dxa"/>
          <w:bottom w:w="0" w:type="dxa"/>
          <w:right w:w="51" w:type="dxa"/>
        </w:tblCellMar>
        <w:tblLook w:val="04A0" w:firstRow="1" w:lastRow="0" w:firstColumn="1" w:lastColumn="0" w:noHBand="0" w:noVBand="1"/>
      </w:tblPr>
      <w:tblGrid>
        <w:gridCol w:w="3963"/>
        <w:gridCol w:w="1370"/>
        <w:gridCol w:w="324"/>
        <w:gridCol w:w="939"/>
        <w:gridCol w:w="324"/>
        <w:gridCol w:w="939"/>
        <w:gridCol w:w="324"/>
        <w:gridCol w:w="830"/>
      </w:tblGrid>
      <w:tr w:rsidR="003D3187" w14:paraId="7BA3BEAD" w14:textId="77777777">
        <w:trPr>
          <w:trHeight w:val="469"/>
        </w:trPr>
        <w:tc>
          <w:tcPr>
            <w:tcW w:w="3964"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483A3D32" w14:textId="77777777" w:rsidR="003D3187" w:rsidRDefault="00000000">
            <w:pPr>
              <w:spacing w:after="0" w:line="259" w:lineRule="auto"/>
              <w:ind w:left="107" w:firstLine="0"/>
            </w:pPr>
            <w:r>
              <w:rPr>
                <w:b/>
                <w:sz w:val="20"/>
              </w:rPr>
              <w:t xml:space="preserve">  </w:t>
            </w:r>
          </w:p>
        </w:tc>
        <w:tc>
          <w:tcPr>
            <w:tcW w:w="1694" w:type="dxa"/>
            <w:gridSpan w:val="2"/>
            <w:tcBorders>
              <w:top w:val="single" w:sz="4" w:space="0" w:color="000000"/>
              <w:left w:val="single" w:sz="4" w:space="0" w:color="000000"/>
              <w:bottom w:val="single" w:sz="4" w:space="0" w:color="000000"/>
              <w:right w:val="nil"/>
            </w:tcBorders>
            <w:shd w:val="clear" w:color="auto" w:fill="C5E0B3"/>
          </w:tcPr>
          <w:p w14:paraId="7D4A8246" w14:textId="77777777" w:rsidR="003D3187" w:rsidRDefault="00000000">
            <w:pPr>
              <w:spacing w:after="0" w:line="259" w:lineRule="auto"/>
              <w:ind w:left="142" w:right="489" w:firstLine="0"/>
              <w:jc w:val="right"/>
            </w:pPr>
            <w:r>
              <w:rPr>
                <w:b/>
                <w:sz w:val="20"/>
              </w:rPr>
              <w:t xml:space="preserve">2026/27 £m </w:t>
            </w:r>
          </w:p>
        </w:tc>
        <w:tc>
          <w:tcPr>
            <w:tcW w:w="1263" w:type="dxa"/>
            <w:gridSpan w:val="2"/>
            <w:tcBorders>
              <w:top w:val="single" w:sz="4" w:space="0" w:color="000000"/>
              <w:left w:val="nil"/>
              <w:bottom w:val="single" w:sz="4" w:space="0" w:color="000000"/>
              <w:right w:val="nil"/>
            </w:tcBorders>
            <w:shd w:val="clear" w:color="auto" w:fill="C5E0B3"/>
          </w:tcPr>
          <w:p w14:paraId="2E74B2D7" w14:textId="77777777" w:rsidR="003D3187" w:rsidRDefault="00000000">
            <w:pPr>
              <w:spacing w:after="0" w:line="259" w:lineRule="auto"/>
              <w:ind w:left="434" w:right="144" w:hanging="434"/>
            </w:pPr>
            <w:r>
              <w:rPr>
                <w:b/>
                <w:sz w:val="20"/>
              </w:rPr>
              <w:t xml:space="preserve">2027/28 £m </w:t>
            </w:r>
          </w:p>
        </w:tc>
        <w:tc>
          <w:tcPr>
            <w:tcW w:w="1263" w:type="dxa"/>
            <w:gridSpan w:val="2"/>
            <w:tcBorders>
              <w:top w:val="single" w:sz="4" w:space="0" w:color="000000"/>
              <w:left w:val="nil"/>
              <w:bottom w:val="single" w:sz="4" w:space="0" w:color="000000"/>
              <w:right w:val="nil"/>
            </w:tcBorders>
            <w:shd w:val="clear" w:color="auto" w:fill="C5E0B3"/>
          </w:tcPr>
          <w:p w14:paraId="4DFD9BE0" w14:textId="77777777" w:rsidR="003D3187" w:rsidRDefault="00000000">
            <w:pPr>
              <w:spacing w:after="0" w:line="259" w:lineRule="auto"/>
              <w:ind w:left="434" w:right="144" w:hanging="434"/>
            </w:pPr>
            <w:r>
              <w:rPr>
                <w:b/>
                <w:sz w:val="20"/>
              </w:rPr>
              <w:t xml:space="preserve">2028/29 £m </w:t>
            </w:r>
          </w:p>
        </w:tc>
        <w:tc>
          <w:tcPr>
            <w:tcW w:w="830" w:type="dxa"/>
            <w:tcBorders>
              <w:top w:val="single" w:sz="4" w:space="0" w:color="000000"/>
              <w:left w:val="nil"/>
              <w:bottom w:val="single" w:sz="4" w:space="0" w:color="000000"/>
              <w:right w:val="single" w:sz="4" w:space="0" w:color="000000"/>
            </w:tcBorders>
            <w:shd w:val="clear" w:color="auto" w:fill="C5E0B3"/>
          </w:tcPr>
          <w:p w14:paraId="1551BBF1" w14:textId="77777777" w:rsidR="003D3187" w:rsidRDefault="00000000">
            <w:pPr>
              <w:spacing w:after="0" w:line="259" w:lineRule="auto"/>
              <w:ind w:left="0" w:right="56" w:firstLine="0"/>
              <w:jc w:val="right"/>
            </w:pPr>
            <w:r>
              <w:rPr>
                <w:b/>
                <w:sz w:val="20"/>
              </w:rPr>
              <w:t xml:space="preserve">2029/30 £m </w:t>
            </w:r>
          </w:p>
        </w:tc>
      </w:tr>
      <w:tr w:rsidR="003D3187" w14:paraId="5790C9EE" w14:textId="77777777">
        <w:trPr>
          <w:trHeight w:val="273"/>
        </w:trPr>
        <w:tc>
          <w:tcPr>
            <w:tcW w:w="3964" w:type="dxa"/>
            <w:tcBorders>
              <w:top w:val="single" w:sz="4" w:space="0" w:color="000000"/>
              <w:left w:val="single" w:sz="4" w:space="0" w:color="000000"/>
              <w:bottom w:val="single" w:sz="4" w:space="0" w:color="000000"/>
              <w:right w:val="single" w:sz="4" w:space="0" w:color="000000"/>
            </w:tcBorders>
            <w:shd w:val="clear" w:color="auto" w:fill="F2F2F2"/>
          </w:tcPr>
          <w:p w14:paraId="53D6E08B" w14:textId="77777777" w:rsidR="003D3187" w:rsidRDefault="00000000">
            <w:pPr>
              <w:spacing w:after="0" w:line="259" w:lineRule="auto"/>
              <w:ind w:left="107" w:firstLine="0"/>
            </w:pPr>
            <w:r>
              <w:rPr>
                <w:b/>
                <w:sz w:val="20"/>
              </w:rPr>
              <w:t xml:space="preserve">Net Budget brought forward </w:t>
            </w:r>
          </w:p>
        </w:tc>
        <w:tc>
          <w:tcPr>
            <w:tcW w:w="1694" w:type="dxa"/>
            <w:gridSpan w:val="2"/>
            <w:tcBorders>
              <w:top w:val="single" w:sz="4" w:space="0" w:color="000000"/>
              <w:left w:val="single" w:sz="4" w:space="0" w:color="000000"/>
              <w:bottom w:val="single" w:sz="4" w:space="0" w:color="000000"/>
              <w:right w:val="nil"/>
            </w:tcBorders>
            <w:shd w:val="clear" w:color="auto" w:fill="F2F2F2"/>
          </w:tcPr>
          <w:p w14:paraId="75710B56" w14:textId="77777777" w:rsidR="003D3187" w:rsidRDefault="00000000">
            <w:pPr>
              <w:spacing w:after="0" w:line="259" w:lineRule="auto"/>
              <w:ind w:left="0" w:right="58" w:firstLine="0"/>
              <w:jc w:val="center"/>
            </w:pPr>
            <w:r>
              <w:rPr>
                <w:b/>
                <w:sz w:val="20"/>
              </w:rPr>
              <w:t xml:space="preserve">352.593 </w:t>
            </w:r>
          </w:p>
        </w:tc>
        <w:tc>
          <w:tcPr>
            <w:tcW w:w="1263" w:type="dxa"/>
            <w:gridSpan w:val="2"/>
            <w:tcBorders>
              <w:top w:val="single" w:sz="4" w:space="0" w:color="000000"/>
              <w:left w:val="nil"/>
              <w:bottom w:val="single" w:sz="4" w:space="0" w:color="000000"/>
              <w:right w:val="nil"/>
            </w:tcBorders>
            <w:shd w:val="clear" w:color="auto" w:fill="F2F2F2"/>
          </w:tcPr>
          <w:p w14:paraId="0CCCD017" w14:textId="77777777" w:rsidR="003D3187" w:rsidRDefault="00000000">
            <w:pPr>
              <w:spacing w:after="0" w:line="259" w:lineRule="auto"/>
              <w:ind w:left="0" w:firstLine="0"/>
            </w:pPr>
            <w:r>
              <w:rPr>
                <w:b/>
                <w:sz w:val="20"/>
              </w:rPr>
              <w:t xml:space="preserve">423.816 </w:t>
            </w:r>
          </w:p>
        </w:tc>
        <w:tc>
          <w:tcPr>
            <w:tcW w:w="1263" w:type="dxa"/>
            <w:gridSpan w:val="2"/>
            <w:tcBorders>
              <w:top w:val="single" w:sz="4" w:space="0" w:color="000000"/>
              <w:left w:val="nil"/>
              <w:bottom w:val="single" w:sz="4" w:space="0" w:color="000000"/>
              <w:right w:val="nil"/>
            </w:tcBorders>
            <w:shd w:val="clear" w:color="auto" w:fill="F2F2F2"/>
          </w:tcPr>
          <w:p w14:paraId="2857C0EC" w14:textId="77777777" w:rsidR="003D3187" w:rsidRDefault="00000000">
            <w:pPr>
              <w:spacing w:after="0" w:line="259" w:lineRule="auto"/>
              <w:ind w:left="0" w:firstLine="0"/>
            </w:pPr>
            <w:r>
              <w:rPr>
                <w:b/>
                <w:sz w:val="20"/>
              </w:rPr>
              <w:t xml:space="preserve">441.775 </w:t>
            </w:r>
          </w:p>
        </w:tc>
        <w:tc>
          <w:tcPr>
            <w:tcW w:w="830" w:type="dxa"/>
            <w:tcBorders>
              <w:top w:val="single" w:sz="4" w:space="0" w:color="000000"/>
              <w:left w:val="nil"/>
              <w:bottom w:val="single" w:sz="4" w:space="0" w:color="000000"/>
              <w:right w:val="single" w:sz="4" w:space="0" w:color="000000"/>
            </w:tcBorders>
            <w:shd w:val="clear" w:color="auto" w:fill="F2F2F2"/>
          </w:tcPr>
          <w:p w14:paraId="4990EAE9" w14:textId="77777777" w:rsidR="003D3187" w:rsidRDefault="00000000">
            <w:pPr>
              <w:spacing w:after="0" w:line="259" w:lineRule="auto"/>
              <w:ind w:left="0" w:firstLine="0"/>
              <w:jc w:val="both"/>
            </w:pPr>
            <w:r>
              <w:rPr>
                <w:b/>
                <w:sz w:val="20"/>
              </w:rPr>
              <w:t xml:space="preserve">462.760 </w:t>
            </w:r>
          </w:p>
        </w:tc>
      </w:tr>
      <w:tr w:rsidR="003D3187" w14:paraId="6661B175" w14:textId="77777777">
        <w:trPr>
          <w:trHeight w:val="291"/>
        </w:trPr>
        <w:tc>
          <w:tcPr>
            <w:tcW w:w="3964" w:type="dxa"/>
            <w:tcBorders>
              <w:top w:val="single" w:sz="4" w:space="0" w:color="000000"/>
              <w:left w:val="single" w:sz="4" w:space="0" w:color="000000"/>
              <w:bottom w:val="nil"/>
              <w:right w:val="single" w:sz="4" w:space="0" w:color="000000"/>
            </w:tcBorders>
          </w:tcPr>
          <w:p w14:paraId="689F8EC4" w14:textId="77777777" w:rsidR="003D3187" w:rsidRDefault="00000000">
            <w:pPr>
              <w:spacing w:after="0" w:line="259" w:lineRule="auto"/>
              <w:ind w:left="107" w:firstLine="0"/>
            </w:pPr>
            <w:r>
              <w:rPr>
                <w:sz w:val="20"/>
              </w:rPr>
              <w:t xml:space="preserve">Pay </w:t>
            </w:r>
          </w:p>
        </w:tc>
        <w:tc>
          <w:tcPr>
            <w:tcW w:w="1694" w:type="dxa"/>
            <w:gridSpan w:val="2"/>
            <w:tcBorders>
              <w:top w:val="single" w:sz="4" w:space="0" w:color="000000"/>
              <w:left w:val="single" w:sz="4" w:space="0" w:color="000000"/>
              <w:bottom w:val="nil"/>
              <w:right w:val="nil"/>
            </w:tcBorders>
          </w:tcPr>
          <w:p w14:paraId="4C34F734" w14:textId="77777777" w:rsidR="003D3187" w:rsidRDefault="00000000">
            <w:pPr>
              <w:spacing w:after="0" w:line="259" w:lineRule="auto"/>
              <w:ind w:left="53" w:firstLine="0"/>
              <w:jc w:val="center"/>
            </w:pPr>
            <w:r>
              <w:rPr>
                <w:sz w:val="20"/>
              </w:rPr>
              <w:t xml:space="preserve">14.209 </w:t>
            </w:r>
          </w:p>
        </w:tc>
        <w:tc>
          <w:tcPr>
            <w:tcW w:w="1263" w:type="dxa"/>
            <w:gridSpan w:val="2"/>
            <w:tcBorders>
              <w:top w:val="single" w:sz="4" w:space="0" w:color="000000"/>
              <w:left w:val="nil"/>
              <w:bottom w:val="nil"/>
              <w:right w:val="nil"/>
            </w:tcBorders>
          </w:tcPr>
          <w:p w14:paraId="26FC655A" w14:textId="77777777" w:rsidR="003D3187" w:rsidRDefault="00000000">
            <w:pPr>
              <w:spacing w:after="0" w:line="259" w:lineRule="auto"/>
              <w:ind w:left="111" w:firstLine="0"/>
            </w:pPr>
            <w:r>
              <w:rPr>
                <w:sz w:val="20"/>
              </w:rPr>
              <w:t xml:space="preserve">10.746 </w:t>
            </w:r>
          </w:p>
        </w:tc>
        <w:tc>
          <w:tcPr>
            <w:tcW w:w="1263" w:type="dxa"/>
            <w:gridSpan w:val="2"/>
            <w:tcBorders>
              <w:top w:val="single" w:sz="4" w:space="0" w:color="000000"/>
              <w:left w:val="nil"/>
              <w:bottom w:val="nil"/>
              <w:right w:val="nil"/>
            </w:tcBorders>
          </w:tcPr>
          <w:p w14:paraId="3BC8F0E8" w14:textId="77777777" w:rsidR="003D3187" w:rsidRDefault="00000000">
            <w:pPr>
              <w:spacing w:after="0" w:line="259" w:lineRule="auto"/>
              <w:ind w:left="111" w:firstLine="0"/>
            </w:pPr>
            <w:r>
              <w:rPr>
                <w:sz w:val="20"/>
              </w:rPr>
              <w:t xml:space="preserve">11.176 </w:t>
            </w:r>
          </w:p>
        </w:tc>
        <w:tc>
          <w:tcPr>
            <w:tcW w:w="830" w:type="dxa"/>
            <w:tcBorders>
              <w:top w:val="single" w:sz="4" w:space="0" w:color="000000"/>
              <w:left w:val="nil"/>
              <w:bottom w:val="nil"/>
              <w:right w:val="single" w:sz="4" w:space="0" w:color="000000"/>
            </w:tcBorders>
          </w:tcPr>
          <w:p w14:paraId="26CECB80" w14:textId="77777777" w:rsidR="003D3187" w:rsidRDefault="00000000">
            <w:pPr>
              <w:spacing w:after="0" w:line="259" w:lineRule="auto"/>
              <w:ind w:left="111" w:firstLine="0"/>
            </w:pPr>
            <w:r>
              <w:rPr>
                <w:sz w:val="20"/>
              </w:rPr>
              <w:t xml:space="preserve">11.759 </w:t>
            </w:r>
          </w:p>
        </w:tc>
      </w:tr>
      <w:tr w:rsidR="003D3187" w14:paraId="1DDE02A5" w14:textId="77777777">
        <w:trPr>
          <w:trHeight w:val="264"/>
        </w:trPr>
        <w:tc>
          <w:tcPr>
            <w:tcW w:w="3964" w:type="dxa"/>
            <w:tcBorders>
              <w:top w:val="nil"/>
              <w:left w:val="single" w:sz="4" w:space="0" w:color="000000"/>
              <w:bottom w:val="nil"/>
              <w:right w:val="single" w:sz="4" w:space="0" w:color="000000"/>
            </w:tcBorders>
          </w:tcPr>
          <w:p w14:paraId="4CE1CC0A" w14:textId="77777777" w:rsidR="003D3187" w:rsidRDefault="00000000">
            <w:pPr>
              <w:spacing w:after="0" w:line="259" w:lineRule="auto"/>
              <w:ind w:left="107" w:firstLine="0"/>
            </w:pPr>
            <w:r>
              <w:rPr>
                <w:sz w:val="20"/>
              </w:rPr>
              <w:t xml:space="preserve">Contractual Inflation </w:t>
            </w:r>
          </w:p>
        </w:tc>
        <w:tc>
          <w:tcPr>
            <w:tcW w:w="1694" w:type="dxa"/>
            <w:gridSpan w:val="2"/>
            <w:tcBorders>
              <w:top w:val="nil"/>
              <w:left w:val="single" w:sz="4" w:space="0" w:color="000000"/>
              <w:bottom w:val="nil"/>
              <w:right w:val="nil"/>
            </w:tcBorders>
          </w:tcPr>
          <w:p w14:paraId="0D5D831D" w14:textId="77777777" w:rsidR="003D3187" w:rsidRDefault="00000000">
            <w:pPr>
              <w:spacing w:after="0" w:line="259" w:lineRule="auto"/>
              <w:ind w:left="164" w:firstLine="0"/>
              <w:jc w:val="center"/>
            </w:pPr>
            <w:r>
              <w:rPr>
                <w:sz w:val="20"/>
              </w:rPr>
              <w:t xml:space="preserve">9.155 </w:t>
            </w:r>
          </w:p>
        </w:tc>
        <w:tc>
          <w:tcPr>
            <w:tcW w:w="1263" w:type="dxa"/>
            <w:gridSpan w:val="2"/>
            <w:tcBorders>
              <w:top w:val="nil"/>
              <w:left w:val="nil"/>
              <w:bottom w:val="nil"/>
              <w:right w:val="nil"/>
            </w:tcBorders>
          </w:tcPr>
          <w:p w14:paraId="577B9D17" w14:textId="77777777" w:rsidR="003D3187" w:rsidRDefault="00000000">
            <w:pPr>
              <w:spacing w:after="0" w:line="259" w:lineRule="auto"/>
              <w:ind w:left="222" w:firstLine="0"/>
            </w:pPr>
            <w:r>
              <w:rPr>
                <w:sz w:val="20"/>
              </w:rPr>
              <w:t xml:space="preserve">9.227 </w:t>
            </w:r>
          </w:p>
        </w:tc>
        <w:tc>
          <w:tcPr>
            <w:tcW w:w="1263" w:type="dxa"/>
            <w:gridSpan w:val="2"/>
            <w:tcBorders>
              <w:top w:val="nil"/>
              <w:left w:val="nil"/>
              <w:bottom w:val="nil"/>
              <w:right w:val="nil"/>
            </w:tcBorders>
          </w:tcPr>
          <w:p w14:paraId="3C4665FB" w14:textId="77777777" w:rsidR="003D3187" w:rsidRDefault="00000000">
            <w:pPr>
              <w:spacing w:after="0" w:line="259" w:lineRule="auto"/>
              <w:ind w:left="222" w:firstLine="0"/>
            </w:pPr>
            <w:r>
              <w:rPr>
                <w:sz w:val="20"/>
              </w:rPr>
              <w:t xml:space="preserve">7.841 </w:t>
            </w:r>
          </w:p>
        </w:tc>
        <w:tc>
          <w:tcPr>
            <w:tcW w:w="830" w:type="dxa"/>
            <w:tcBorders>
              <w:top w:val="nil"/>
              <w:left w:val="nil"/>
              <w:bottom w:val="nil"/>
              <w:right w:val="single" w:sz="4" w:space="0" w:color="000000"/>
            </w:tcBorders>
          </w:tcPr>
          <w:p w14:paraId="73C313DD" w14:textId="77777777" w:rsidR="003D3187" w:rsidRDefault="00000000">
            <w:pPr>
              <w:spacing w:after="0" w:line="259" w:lineRule="auto"/>
              <w:ind w:left="0" w:right="56" w:firstLine="0"/>
              <w:jc w:val="right"/>
            </w:pPr>
            <w:r>
              <w:rPr>
                <w:sz w:val="20"/>
              </w:rPr>
              <w:t xml:space="preserve">8.039 </w:t>
            </w:r>
          </w:p>
        </w:tc>
      </w:tr>
      <w:tr w:rsidR="003D3187" w14:paraId="7439DE7D" w14:textId="77777777">
        <w:trPr>
          <w:trHeight w:val="243"/>
        </w:trPr>
        <w:tc>
          <w:tcPr>
            <w:tcW w:w="3964" w:type="dxa"/>
            <w:tcBorders>
              <w:top w:val="nil"/>
              <w:left w:val="single" w:sz="4" w:space="0" w:color="000000"/>
              <w:bottom w:val="nil"/>
              <w:right w:val="single" w:sz="4" w:space="0" w:color="000000"/>
            </w:tcBorders>
          </w:tcPr>
          <w:p w14:paraId="69182312" w14:textId="77777777" w:rsidR="003D3187" w:rsidRDefault="00000000">
            <w:pPr>
              <w:spacing w:after="0" w:line="259" w:lineRule="auto"/>
              <w:ind w:left="107" w:firstLine="0"/>
            </w:pPr>
            <w:r>
              <w:rPr>
                <w:sz w:val="20"/>
              </w:rPr>
              <w:t xml:space="preserve">Service Growth </w:t>
            </w:r>
          </w:p>
        </w:tc>
        <w:tc>
          <w:tcPr>
            <w:tcW w:w="1694" w:type="dxa"/>
            <w:gridSpan w:val="2"/>
            <w:tcBorders>
              <w:top w:val="nil"/>
              <w:left w:val="single" w:sz="4" w:space="0" w:color="000000"/>
              <w:bottom w:val="nil"/>
              <w:right w:val="nil"/>
            </w:tcBorders>
          </w:tcPr>
          <w:p w14:paraId="5E064D0B" w14:textId="77777777" w:rsidR="003D3187" w:rsidRDefault="00000000">
            <w:pPr>
              <w:spacing w:after="0" w:line="259" w:lineRule="auto"/>
              <w:ind w:left="53" w:firstLine="0"/>
              <w:jc w:val="center"/>
            </w:pPr>
            <w:r>
              <w:rPr>
                <w:sz w:val="20"/>
              </w:rPr>
              <w:t xml:space="preserve">18.235 </w:t>
            </w:r>
          </w:p>
        </w:tc>
        <w:tc>
          <w:tcPr>
            <w:tcW w:w="1263" w:type="dxa"/>
            <w:gridSpan w:val="2"/>
            <w:tcBorders>
              <w:top w:val="nil"/>
              <w:left w:val="nil"/>
              <w:bottom w:val="nil"/>
              <w:right w:val="nil"/>
            </w:tcBorders>
          </w:tcPr>
          <w:p w14:paraId="32C6813A" w14:textId="77777777" w:rsidR="003D3187" w:rsidRDefault="00000000">
            <w:pPr>
              <w:spacing w:after="0" w:line="259" w:lineRule="auto"/>
              <w:ind w:left="222" w:firstLine="0"/>
            </w:pPr>
            <w:r>
              <w:rPr>
                <w:sz w:val="20"/>
              </w:rPr>
              <w:t xml:space="preserve">0.749 </w:t>
            </w:r>
          </w:p>
        </w:tc>
        <w:tc>
          <w:tcPr>
            <w:tcW w:w="1263" w:type="dxa"/>
            <w:gridSpan w:val="2"/>
            <w:tcBorders>
              <w:top w:val="nil"/>
              <w:left w:val="nil"/>
              <w:bottom w:val="nil"/>
              <w:right w:val="nil"/>
            </w:tcBorders>
          </w:tcPr>
          <w:p w14:paraId="04586CEF" w14:textId="77777777" w:rsidR="003D3187" w:rsidRDefault="00000000">
            <w:pPr>
              <w:spacing w:after="0" w:line="259" w:lineRule="auto"/>
              <w:ind w:left="222" w:firstLine="0"/>
            </w:pPr>
            <w:r>
              <w:rPr>
                <w:sz w:val="20"/>
              </w:rPr>
              <w:t xml:space="preserve">1.938 </w:t>
            </w:r>
          </w:p>
        </w:tc>
        <w:tc>
          <w:tcPr>
            <w:tcW w:w="830" w:type="dxa"/>
            <w:tcBorders>
              <w:top w:val="nil"/>
              <w:left w:val="nil"/>
              <w:bottom w:val="nil"/>
              <w:right w:val="single" w:sz="4" w:space="0" w:color="000000"/>
            </w:tcBorders>
          </w:tcPr>
          <w:p w14:paraId="4F57BEA7" w14:textId="77777777" w:rsidR="003D3187" w:rsidRDefault="00000000">
            <w:pPr>
              <w:spacing w:after="0" w:line="259" w:lineRule="auto"/>
              <w:ind w:left="0" w:right="56" w:firstLine="0"/>
              <w:jc w:val="right"/>
            </w:pPr>
            <w:r>
              <w:rPr>
                <w:sz w:val="20"/>
              </w:rPr>
              <w:t xml:space="preserve">2.525 </w:t>
            </w:r>
          </w:p>
        </w:tc>
      </w:tr>
      <w:tr w:rsidR="003D3187" w14:paraId="028F01FD" w14:textId="77777777">
        <w:trPr>
          <w:trHeight w:val="285"/>
        </w:trPr>
        <w:tc>
          <w:tcPr>
            <w:tcW w:w="3964" w:type="dxa"/>
            <w:tcBorders>
              <w:top w:val="nil"/>
              <w:left w:val="single" w:sz="4" w:space="0" w:color="000000"/>
              <w:bottom w:val="nil"/>
              <w:right w:val="single" w:sz="4" w:space="0" w:color="000000"/>
            </w:tcBorders>
          </w:tcPr>
          <w:p w14:paraId="6B1948BC" w14:textId="77777777" w:rsidR="003D3187" w:rsidRDefault="00000000">
            <w:pPr>
              <w:spacing w:after="0" w:line="259" w:lineRule="auto"/>
              <w:ind w:left="107" w:firstLine="0"/>
            </w:pPr>
            <w:r>
              <w:rPr>
                <w:sz w:val="20"/>
              </w:rPr>
              <w:t xml:space="preserve">Specific Grants/Funding </w:t>
            </w:r>
          </w:p>
        </w:tc>
        <w:tc>
          <w:tcPr>
            <w:tcW w:w="1370" w:type="dxa"/>
            <w:tcBorders>
              <w:top w:val="nil"/>
              <w:left w:val="single" w:sz="4" w:space="0" w:color="000000"/>
              <w:bottom w:val="nil"/>
              <w:right w:val="nil"/>
            </w:tcBorders>
          </w:tcPr>
          <w:p w14:paraId="440840B8" w14:textId="77777777" w:rsidR="003D3187" w:rsidRDefault="00000000">
            <w:pPr>
              <w:spacing w:after="0" w:line="259" w:lineRule="auto"/>
              <w:ind w:left="542" w:firstLine="0"/>
            </w:pPr>
            <w:r>
              <w:rPr>
                <w:sz w:val="20"/>
              </w:rPr>
              <w:t xml:space="preserve">64.121 </w:t>
            </w:r>
          </w:p>
        </w:tc>
        <w:tc>
          <w:tcPr>
            <w:tcW w:w="1263" w:type="dxa"/>
            <w:gridSpan w:val="2"/>
            <w:tcBorders>
              <w:top w:val="nil"/>
              <w:left w:val="nil"/>
              <w:bottom w:val="nil"/>
              <w:right w:val="nil"/>
            </w:tcBorders>
          </w:tcPr>
          <w:p w14:paraId="0BA7A664" w14:textId="77777777" w:rsidR="003D3187" w:rsidRDefault="00000000">
            <w:pPr>
              <w:spacing w:after="0" w:line="259" w:lineRule="auto"/>
              <w:ind w:left="547" w:firstLine="0"/>
            </w:pPr>
            <w:r>
              <w:rPr>
                <w:sz w:val="20"/>
              </w:rPr>
              <w:t xml:space="preserve">0.000 </w:t>
            </w:r>
          </w:p>
        </w:tc>
        <w:tc>
          <w:tcPr>
            <w:tcW w:w="1263" w:type="dxa"/>
            <w:gridSpan w:val="2"/>
            <w:tcBorders>
              <w:top w:val="nil"/>
              <w:left w:val="nil"/>
              <w:bottom w:val="nil"/>
              <w:right w:val="nil"/>
            </w:tcBorders>
          </w:tcPr>
          <w:p w14:paraId="39A7121C" w14:textId="77777777" w:rsidR="003D3187" w:rsidRDefault="00000000">
            <w:pPr>
              <w:spacing w:after="0" w:line="259" w:lineRule="auto"/>
              <w:ind w:left="547" w:firstLine="0"/>
            </w:pPr>
            <w:r>
              <w:rPr>
                <w:sz w:val="20"/>
              </w:rPr>
              <w:t xml:space="preserve">0.000 </w:t>
            </w:r>
          </w:p>
        </w:tc>
        <w:tc>
          <w:tcPr>
            <w:tcW w:w="1154" w:type="dxa"/>
            <w:gridSpan w:val="2"/>
            <w:tcBorders>
              <w:top w:val="nil"/>
              <w:left w:val="nil"/>
              <w:bottom w:val="nil"/>
              <w:right w:val="single" w:sz="4" w:space="0" w:color="000000"/>
            </w:tcBorders>
          </w:tcPr>
          <w:p w14:paraId="596E9676" w14:textId="77777777" w:rsidR="003D3187" w:rsidRDefault="00000000">
            <w:pPr>
              <w:spacing w:after="0" w:line="259" w:lineRule="auto"/>
              <w:ind w:left="0" w:right="56" w:firstLine="0"/>
              <w:jc w:val="right"/>
            </w:pPr>
            <w:r>
              <w:rPr>
                <w:sz w:val="20"/>
              </w:rPr>
              <w:t xml:space="preserve">0.000 </w:t>
            </w:r>
          </w:p>
        </w:tc>
      </w:tr>
      <w:tr w:rsidR="003D3187" w14:paraId="03AFA472" w14:textId="77777777">
        <w:trPr>
          <w:trHeight w:val="264"/>
        </w:trPr>
        <w:tc>
          <w:tcPr>
            <w:tcW w:w="3964" w:type="dxa"/>
            <w:tcBorders>
              <w:top w:val="nil"/>
              <w:left w:val="single" w:sz="4" w:space="0" w:color="000000"/>
              <w:bottom w:val="nil"/>
              <w:right w:val="single" w:sz="4" w:space="0" w:color="000000"/>
            </w:tcBorders>
          </w:tcPr>
          <w:p w14:paraId="434C0793" w14:textId="77777777" w:rsidR="003D3187" w:rsidRDefault="00000000">
            <w:pPr>
              <w:spacing w:after="0" w:line="259" w:lineRule="auto"/>
              <w:ind w:left="107" w:firstLine="0"/>
            </w:pPr>
            <w:r>
              <w:rPr>
                <w:sz w:val="20"/>
              </w:rPr>
              <w:t xml:space="preserve">Technical Adjustments </w:t>
            </w:r>
          </w:p>
        </w:tc>
        <w:tc>
          <w:tcPr>
            <w:tcW w:w="1370" w:type="dxa"/>
            <w:tcBorders>
              <w:top w:val="nil"/>
              <w:left w:val="single" w:sz="4" w:space="0" w:color="000000"/>
              <w:bottom w:val="nil"/>
              <w:right w:val="nil"/>
            </w:tcBorders>
          </w:tcPr>
          <w:p w14:paraId="56CB62E0" w14:textId="77777777" w:rsidR="003D3187" w:rsidRDefault="00000000">
            <w:pPr>
              <w:spacing w:after="0" w:line="259" w:lineRule="auto"/>
              <w:ind w:left="409" w:firstLine="0"/>
            </w:pPr>
            <w:r>
              <w:rPr>
                <w:sz w:val="20"/>
              </w:rPr>
              <w:t xml:space="preserve">(13.286) </w:t>
            </w:r>
          </w:p>
        </w:tc>
        <w:tc>
          <w:tcPr>
            <w:tcW w:w="1263" w:type="dxa"/>
            <w:gridSpan w:val="2"/>
            <w:tcBorders>
              <w:top w:val="nil"/>
              <w:left w:val="nil"/>
              <w:bottom w:val="nil"/>
              <w:right w:val="nil"/>
            </w:tcBorders>
          </w:tcPr>
          <w:p w14:paraId="539D1F5D" w14:textId="77777777" w:rsidR="003D3187" w:rsidRDefault="00000000">
            <w:pPr>
              <w:spacing w:after="0" w:line="259" w:lineRule="auto"/>
              <w:ind w:left="413" w:firstLine="0"/>
            </w:pPr>
            <w:r>
              <w:rPr>
                <w:sz w:val="20"/>
              </w:rPr>
              <w:t xml:space="preserve">(0.626) </w:t>
            </w:r>
          </w:p>
        </w:tc>
        <w:tc>
          <w:tcPr>
            <w:tcW w:w="1263" w:type="dxa"/>
            <w:gridSpan w:val="2"/>
            <w:tcBorders>
              <w:top w:val="nil"/>
              <w:left w:val="nil"/>
              <w:bottom w:val="nil"/>
              <w:right w:val="nil"/>
            </w:tcBorders>
          </w:tcPr>
          <w:p w14:paraId="4DC91384" w14:textId="77777777" w:rsidR="003D3187" w:rsidRDefault="00000000">
            <w:pPr>
              <w:spacing w:after="0" w:line="259" w:lineRule="auto"/>
              <w:ind w:left="547" w:firstLine="0"/>
            </w:pPr>
            <w:r>
              <w:rPr>
                <w:sz w:val="20"/>
              </w:rPr>
              <w:t xml:space="preserve">0.800 </w:t>
            </w:r>
          </w:p>
        </w:tc>
        <w:tc>
          <w:tcPr>
            <w:tcW w:w="1154" w:type="dxa"/>
            <w:gridSpan w:val="2"/>
            <w:tcBorders>
              <w:top w:val="nil"/>
              <w:left w:val="nil"/>
              <w:bottom w:val="nil"/>
              <w:right w:val="single" w:sz="4" w:space="0" w:color="000000"/>
            </w:tcBorders>
          </w:tcPr>
          <w:p w14:paraId="35FE9BE6" w14:textId="77777777" w:rsidR="003D3187" w:rsidRDefault="00000000">
            <w:pPr>
              <w:spacing w:after="0" w:line="259" w:lineRule="auto"/>
              <w:ind w:left="0" w:right="56" w:firstLine="0"/>
              <w:jc w:val="right"/>
            </w:pPr>
            <w:r>
              <w:rPr>
                <w:sz w:val="20"/>
              </w:rPr>
              <w:t xml:space="preserve">0.000 </w:t>
            </w:r>
          </w:p>
        </w:tc>
      </w:tr>
      <w:tr w:rsidR="003D3187" w14:paraId="01254A74" w14:textId="77777777">
        <w:trPr>
          <w:trHeight w:val="264"/>
        </w:trPr>
        <w:tc>
          <w:tcPr>
            <w:tcW w:w="3964" w:type="dxa"/>
            <w:tcBorders>
              <w:top w:val="nil"/>
              <w:left w:val="single" w:sz="4" w:space="0" w:color="000000"/>
              <w:bottom w:val="nil"/>
              <w:right w:val="single" w:sz="4" w:space="0" w:color="000000"/>
            </w:tcBorders>
          </w:tcPr>
          <w:p w14:paraId="04444D62" w14:textId="77777777" w:rsidR="003D3187" w:rsidRDefault="00000000">
            <w:pPr>
              <w:spacing w:after="0" w:line="259" w:lineRule="auto"/>
              <w:ind w:left="107" w:firstLine="0"/>
            </w:pPr>
            <w:r>
              <w:rPr>
                <w:sz w:val="20"/>
              </w:rPr>
              <w:t xml:space="preserve">Previously Agreed Savings </w:t>
            </w:r>
          </w:p>
        </w:tc>
        <w:tc>
          <w:tcPr>
            <w:tcW w:w="1370" w:type="dxa"/>
            <w:tcBorders>
              <w:top w:val="nil"/>
              <w:left w:val="single" w:sz="4" w:space="0" w:color="000000"/>
              <w:bottom w:val="nil"/>
              <w:right w:val="nil"/>
            </w:tcBorders>
          </w:tcPr>
          <w:p w14:paraId="4B596345" w14:textId="77777777" w:rsidR="003D3187" w:rsidRDefault="00000000">
            <w:pPr>
              <w:spacing w:after="0" w:line="259" w:lineRule="auto"/>
              <w:ind w:left="520" w:firstLine="0"/>
            </w:pPr>
            <w:r>
              <w:rPr>
                <w:sz w:val="20"/>
              </w:rPr>
              <w:t xml:space="preserve">(9.600) </w:t>
            </w:r>
          </w:p>
        </w:tc>
        <w:tc>
          <w:tcPr>
            <w:tcW w:w="1263" w:type="dxa"/>
            <w:gridSpan w:val="2"/>
            <w:tcBorders>
              <w:top w:val="nil"/>
              <w:left w:val="nil"/>
              <w:bottom w:val="nil"/>
              <w:right w:val="nil"/>
            </w:tcBorders>
          </w:tcPr>
          <w:p w14:paraId="3F423086" w14:textId="77777777" w:rsidR="003D3187" w:rsidRDefault="00000000">
            <w:pPr>
              <w:spacing w:after="0" w:line="259" w:lineRule="auto"/>
              <w:ind w:left="413" w:firstLine="0"/>
            </w:pPr>
            <w:r>
              <w:rPr>
                <w:sz w:val="20"/>
              </w:rPr>
              <w:t xml:space="preserve">(0.670) </w:t>
            </w:r>
          </w:p>
        </w:tc>
        <w:tc>
          <w:tcPr>
            <w:tcW w:w="1263" w:type="dxa"/>
            <w:gridSpan w:val="2"/>
            <w:tcBorders>
              <w:top w:val="nil"/>
              <w:left w:val="nil"/>
              <w:bottom w:val="nil"/>
              <w:right w:val="nil"/>
            </w:tcBorders>
          </w:tcPr>
          <w:p w14:paraId="694C5214" w14:textId="77777777" w:rsidR="003D3187" w:rsidRDefault="00000000">
            <w:pPr>
              <w:spacing w:after="0" w:line="259" w:lineRule="auto"/>
              <w:ind w:left="547" w:firstLine="0"/>
            </w:pPr>
            <w:r>
              <w:rPr>
                <w:sz w:val="20"/>
              </w:rPr>
              <w:t xml:space="preserve">0.105 </w:t>
            </w:r>
          </w:p>
        </w:tc>
        <w:tc>
          <w:tcPr>
            <w:tcW w:w="1154" w:type="dxa"/>
            <w:gridSpan w:val="2"/>
            <w:tcBorders>
              <w:top w:val="nil"/>
              <w:left w:val="nil"/>
              <w:bottom w:val="nil"/>
              <w:right w:val="single" w:sz="4" w:space="0" w:color="000000"/>
            </w:tcBorders>
          </w:tcPr>
          <w:p w14:paraId="2FF5BB75" w14:textId="77777777" w:rsidR="003D3187" w:rsidRDefault="00000000">
            <w:pPr>
              <w:spacing w:after="0" w:line="259" w:lineRule="auto"/>
              <w:ind w:left="0" w:right="56" w:firstLine="0"/>
              <w:jc w:val="right"/>
            </w:pPr>
            <w:r>
              <w:rPr>
                <w:sz w:val="20"/>
              </w:rPr>
              <w:t xml:space="preserve">0.000 </w:t>
            </w:r>
          </w:p>
        </w:tc>
      </w:tr>
      <w:tr w:rsidR="003D3187" w14:paraId="7C18D28E" w14:textId="77777777">
        <w:trPr>
          <w:trHeight w:val="264"/>
        </w:trPr>
        <w:tc>
          <w:tcPr>
            <w:tcW w:w="3964" w:type="dxa"/>
            <w:tcBorders>
              <w:top w:val="nil"/>
              <w:left w:val="single" w:sz="4" w:space="0" w:color="000000"/>
              <w:bottom w:val="nil"/>
              <w:right w:val="single" w:sz="4" w:space="0" w:color="000000"/>
            </w:tcBorders>
          </w:tcPr>
          <w:p w14:paraId="0EA5FA8B" w14:textId="77777777" w:rsidR="003D3187" w:rsidRDefault="00000000">
            <w:pPr>
              <w:spacing w:after="0" w:line="259" w:lineRule="auto"/>
              <w:ind w:left="107" w:firstLine="0"/>
            </w:pPr>
            <w:r>
              <w:rPr>
                <w:sz w:val="20"/>
              </w:rPr>
              <w:t xml:space="preserve">New Savings </w:t>
            </w:r>
          </w:p>
        </w:tc>
        <w:tc>
          <w:tcPr>
            <w:tcW w:w="1370" w:type="dxa"/>
            <w:tcBorders>
              <w:top w:val="nil"/>
              <w:left w:val="single" w:sz="4" w:space="0" w:color="000000"/>
              <w:bottom w:val="nil"/>
              <w:right w:val="nil"/>
            </w:tcBorders>
          </w:tcPr>
          <w:p w14:paraId="10895508" w14:textId="77777777" w:rsidR="003D3187" w:rsidRDefault="00000000">
            <w:pPr>
              <w:spacing w:after="0" w:line="259" w:lineRule="auto"/>
              <w:ind w:left="409" w:firstLine="0"/>
            </w:pPr>
            <w:r>
              <w:rPr>
                <w:sz w:val="20"/>
              </w:rPr>
              <w:t xml:space="preserve">(11.495) </w:t>
            </w:r>
          </w:p>
        </w:tc>
        <w:tc>
          <w:tcPr>
            <w:tcW w:w="1263" w:type="dxa"/>
            <w:gridSpan w:val="2"/>
            <w:tcBorders>
              <w:top w:val="nil"/>
              <w:left w:val="nil"/>
              <w:bottom w:val="nil"/>
              <w:right w:val="nil"/>
            </w:tcBorders>
          </w:tcPr>
          <w:p w14:paraId="7F8FCB2A" w14:textId="77777777" w:rsidR="003D3187" w:rsidRDefault="00000000">
            <w:pPr>
              <w:spacing w:after="0" w:line="259" w:lineRule="auto"/>
              <w:ind w:left="413" w:firstLine="0"/>
            </w:pPr>
            <w:r>
              <w:rPr>
                <w:sz w:val="20"/>
              </w:rPr>
              <w:t xml:space="preserve">(1.468) </w:t>
            </w:r>
          </w:p>
        </w:tc>
        <w:tc>
          <w:tcPr>
            <w:tcW w:w="1263" w:type="dxa"/>
            <w:gridSpan w:val="2"/>
            <w:tcBorders>
              <w:top w:val="nil"/>
              <w:left w:val="nil"/>
              <w:bottom w:val="nil"/>
              <w:right w:val="nil"/>
            </w:tcBorders>
          </w:tcPr>
          <w:p w14:paraId="4A71F5BE" w14:textId="77777777" w:rsidR="003D3187" w:rsidRDefault="00000000">
            <w:pPr>
              <w:spacing w:after="0" w:line="259" w:lineRule="auto"/>
              <w:ind w:left="413" w:firstLine="0"/>
            </w:pPr>
            <w:r>
              <w:rPr>
                <w:sz w:val="20"/>
              </w:rPr>
              <w:t xml:space="preserve">(0.876) </w:t>
            </w:r>
          </w:p>
        </w:tc>
        <w:tc>
          <w:tcPr>
            <w:tcW w:w="1154" w:type="dxa"/>
            <w:gridSpan w:val="2"/>
            <w:tcBorders>
              <w:top w:val="nil"/>
              <w:left w:val="nil"/>
              <w:bottom w:val="nil"/>
              <w:right w:val="single" w:sz="4" w:space="0" w:color="000000"/>
            </w:tcBorders>
          </w:tcPr>
          <w:p w14:paraId="10ED566A" w14:textId="77777777" w:rsidR="003D3187" w:rsidRDefault="00000000">
            <w:pPr>
              <w:spacing w:after="0" w:line="259" w:lineRule="auto"/>
              <w:ind w:left="0" w:right="56" w:firstLine="0"/>
              <w:jc w:val="right"/>
            </w:pPr>
            <w:r>
              <w:rPr>
                <w:sz w:val="20"/>
              </w:rPr>
              <w:t xml:space="preserve">1.700 </w:t>
            </w:r>
          </w:p>
        </w:tc>
      </w:tr>
      <w:tr w:rsidR="003D3187" w14:paraId="290EC405" w14:textId="77777777">
        <w:trPr>
          <w:trHeight w:val="248"/>
        </w:trPr>
        <w:tc>
          <w:tcPr>
            <w:tcW w:w="3964" w:type="dxa"/>
            <w:tcBorders>
              <w:top w:val="nil"/>
              <w:left w:val="single" w:sz="4" w:space="0" w:color="000000"/>
              <w:bottom w:val="single" w:sz="4" w:space="0" w:color="000000"/>
              <w:right w:val="single" w:sz="4" w:space="0" w:color="000000"/>
            </w:tcBorders>
          </w:tcPr>
          <w:p w14:paraId="5F529EAD" w14:textId="77777777" w:rsidR="003D3187" w:rsidRDefault="00000000">
            <w:pPr>
              <w:spacing w:after="0" w:line="259" w:lineRule="auto"/>
              <w:ind w:left="107" w:firstLine="0"/>
            </w:pPr>
            <w:r>
              <w:rPr>
                <w:sz w:val="20"/>
              </w:rPr>
              <w:t xml:space="preserve">New Fees &amp; Charges </w:t>
            </w:r>
          </w:p>
        </w:tc>
        <w:tc>
          <w:tcPr>
            <w:tcW w:w="1370" w:type="dxa"/>
            <w:tcBorders>
              <w:top w:val="nil"/>
              <w:left w:val="single" w:sz="4" w:space="0" w:color="000000"/>
              <w:bottom w:val="single" w:sz="4" w:space="0" w:color="000000"/>
              <w:right w:val="nil"/>
            </w:tcBorders>
          </w:tcPr>
          <w:p w14:paraId="7F9E2DE2" w14:textId="77777777" w:rsidR="003D3187" w:rsidRDefault="00000000">
            <w:pPr>
              <w:spacing w:after="0" w:line="259" w:lineRule="auto"/>
              <w:ind w:left="520" w:firstLine="0"/>
            </w:pPr>
            <w:r>
              <w:rPr>
                <w:sz w:val="20"/>
              </w:rPr>
              <w:t xml:space="preserve">(0.115) </w:t>
            </w:r>
          </w:p>
        </w:tc>
        <w:tc>
          <w:tcPr>
            <w:tcW w:w="1263" w:type="dxa"/>
            <w:gridSpan w:val="2"/>
            <w:tcBorders>
              <w:top w:val="nil"/>
              <w:left w:val="nil"/>
              <w:bottom w:val="single" w:sz="4" w:space="0" w:color="000000"/>
              <w:right w:val="nil"/>
            </w:tcBorders>
          </w:tcPr>
          <w:p w14:paraId="72532B8A" w14:textId="77777777" w:rsidR="003D3187" w:rsidRDefault="00000000">
            <w:pPr>
              <w:spacing w:after="0" w:line="259" w:lineRule="auto"/>
              <w:ind w:left="547" w:firstLine="0"/>
            </w:pPr>
            <w:r>
              <w:rPr>
                <w:sz w:val="20"/>
              </w:rPr>
              <w:t xml:space="preserve">0.000 </w:t>
            </w:r>
          </w:p>
        </w:tc>
        <w:tc>
          <w:tcPr>
            <w:tcW w:w="1263" w:type="dxa"/>
            <w:gridSpan w:val="2"/>
            <w:tcBorders>
              <w:top w:val="nil"/>
              <w:left w:val="nil"/>
              <w:bottom w:val="single" w:sz="4" w:space="0" w:color="000000"/>
              <w:right w:val="nil"/>
            </w:tcBorders>
          </w:tcPr>
          <w:p w14:paraId="7BBA3175" w14:textId="77777777" w:rsidR="003D3187" w:rsidRDefault="00000000">
            <w:pPr>
              <w:spacing w:after="0" w:line="259" w:lineRule="auto"/>
              <w:ind w:left="547" w:firstLine="0"/>
            </w:pPr>
            <w:r>
              <w:rPr>
                <w:sz w:val="20"/>
              </w:rPr>
              <w:t xml:space="preserve">0.000 </w:t>
            </w:r>
          </w:p>
        </w:tc>
        <w:tc>
          <w:tcPr>
            <w:tcW w:w="1154" w:type="dxa"/>
            <w:gridSpan w:val="2"/>
            <w:tcBorders>
              <w:top w:val="nil"/>
              <w:left w:val="nil"/>
              <w:bottom w:val="single" w:sz="4" w:space="0" w:color="000000"/>
              <w:right w:val="single" w:sz="4" w:space="0" w:color="000000"/>
            </w:tcBorders>
          </w:tcPr>
          <w:p w14:paraId="31085E19" w14:textId="77777777" w:rsidR="003D3187" w:rsidRDefault="00000000">
            <w:pPr>
              <w:spacing w:after="0" w:line="259" w:lineRule="auto"/>
              <w:ind w:left="0" w:right="56" w:firstLine="0"/>
              <w:jc w:val="right"/>
            </w:pPr>
            <w:r>
              <w:rPr>
                <w:sz w:val="20"/>
              </w:rPr>
              <w:t xml:space="preserve">0.000 </w:t>
            </w:r>
          </w:p>
        </w:tc>
      </w:tr>
      <w:tr w:rsidR="003D3187" w14:paraId="1B8557AB" w14:textId="77777777">
        <w:trPr>
          <w:trHeight w:val="273"/>
        </w:trPr>
        <w:tc>
          <w:tcPr>
            <w:tcW w:w="3964" w:type="dxa"/>
            <w:tcBorders>
              <w:top w:val="single" w:sz="4" w:space="0" w:color="000000"/>
              <w:left w:val="single" w:sz="4" w:space="0" w:color="000000"/>
              <w:bottom w:val="single" w:sz="4" w:space="0" w:color="000000"/>
              <w:right w:val="single" w:sz="4" w:space="0" w:color="000000"/>
            </w:tcBorders>
          </w:tcPr>
          <w:p w14:paraId="3682AC9D" w14:textId="77777777" w:rsidR="003D3187" w:rsidRDefault="00000000">
            <w:pPr>
              <w:spacing w:after="0" w:line="259" w:lineRule="auto"/>
              <w:ind w:left="107" w:firstLine="0"/>
            </w:pPr>
            <w:r>
              <w:rPr>
                <w:b/>
                <w:sz w:val="20"/>
              </w:rPr>
              <w:t xml:space="preserve">Total: Budget Adjustments </w:t>
            </w:r>
          </w:p>
        </w:tc>
        <w:tc>
          <w:tcPr>
            <w:tcW w:w="1370" w:type="dxa"/>
            <w:tcBorders>
              <w:top w:val="single" w:sz="4" w:space="0" w:color="000000"/>
              <w:left w:val="single" w:sz="4" w:space="0" w:color="000000"/>
              <w:bottom w:val="single" w:sz="4" w:space="0" w:color="000000"/>
              <w:right w:val="nil"/>
            </w:tcBorders>
          </w:tcPr>
          <w:p w14:paraId="4E24D0BC" w14:textId="77777777" w:rsidR="003D3187" w:rsidRDefault="00000000">
            <w:pPr>
              <w:spacing w:after="0" w:line="259" w:lineRule="auto"/>
              <w:ind w:left="542" w:firstLine="0"/>
            </w:pPr>
            <w:r>
              <w:rPr>
                <w:b/>
                <w:sz w:val="20"/>
              </w:rPr>
              <w:t xml:space="preserve">71.224 </w:t>
            </w:r>
          </w:p>
        </w:tc>
        <w:tc>
          <w:tcPr>
            <w:tcW w:w="1263" w:type="dxa"/>
            <w:gridSpan w:val="2"/>
            <w:tcBorders>
              <w:top w:val="single" w:sz="4" w:space="0" w:color="000000"/>
              <w:left w:val="nil"/>
              <w:bottom w:val="single" w:sz="4" w:space="0" w:color="000000"/>
              <w:right w:val="nil"/>
            </w:tcBorders>
          </w:tcPr>
          <w:p w14:paraId="7568A3FF" w14:textId="77777777" w:rsidR="003D3187" w:rsidRDefault="00000000">
            <w:pPr>
              <w:spacing w:after="0" w:line="259" w:lineRule="auto"/>
              <w:ind w:left="435" w:firstLine="0"/>
            </w:pPr>
            <w:r>
              <w:rPr>
                <w:b/>
                <w:sz w:val="20"/>
              </w:rPr>
              <w:t xml:space="preserve">17.959 </w:t>
            </w:r>
          </w:p>
        </w:tc>
        <w:tc>
          <w:tcPr>
            <w:tcW w:w="1263" w:type="dxa"/>
            <w:gridSpan w:val="2"/>
            <w:tcBorders>
              <w:top w:val="single" w:sz="4" w:space="0" w:color="000000"/>
              <w:left w:val="nil"/>
              <w:bottom w:val="single" w:sz="4" w:space="0" w:color="000000"/>
              <w:right w:val="nil"/>
            </w:tcBorders>
          </w:tcPr>
          <w:p w14:paraId="4A685676" w14:textId="77777777" w:rsidR="003D3187" w:rsidRDefault="00000000">
            <w:pPr>
              <w:spacing w:after="0" w:line="259" w:lineRule="auto"/>
              <w:ind w:left="435" w:firstLine="0"/>
            </w:pPr>
            <w:r>
              <w:rPr>
                <w:b/>
                <w:sz w:val="20"/>
              </w:rPr>
              <w:t xml:space="preserve">20.985 </w:t>
            </w:r>
          </w:p>
        </w:tc>
        <w:tc>
          <w:tcPr>
            <w:tcW w:w="1154" w:type="dxa"/>
            <w:gridSpan w:val="2"/>
            <w:tcBorders>
              <w:top w:val="single" w:sz="4" w:space="0" w:color="000000"/>
              <w:left w:val="nil"/>
              <w:bottom w:val="single" w:sz="4" w:space="0" w:color="000000"/>
              <w:right w:val="single" w:sz="4" w:space="0" w:color="000000"/>
            </w:tcBorders>
          </w:tcPr>
          <w:p w14:paraId="1FC9CB34" w14:textId="77777777" w:rsidR="003D3187" w:rsidRDefault="00000000">
            <w:pPr>
              <w:spacing w:after="0" w:line="259" w:lineRule="auto"/>
              <w:ind w:left="0" w:right="56" w:firstLine="0"/>
              <w:jc w:val="right"/>
            </w:pPr>
            <w:r>
              <w:rPr>
                <w:b/>
                <w:sz w:val="20"/>
              </w:rPr>
              <w:t xml:space="preserve">24.023 </w:t>
            </w:r>
          </w:p>
        </w:tc>
      </w:tr>
      <w:tr w:rsidR="003D3187" w14:paraId="29019C75" w14:textId="77777777">
        <w:trPr>
          <w:trHeight w:val="274"/>
        </w:trPr>
        <w:tc>
          <w:tcPr>
            <w:tcW w:w="3964" w:type="dxa"/>
            <w:tcBorders>
              <w:top w:val="single" w:sz="4" w:space="0" w:color="000000"/>
              <w:left w:val="single" w:sz="4" w:space="0" w:color="000000"/>
              <w:bottom w:val="single" w:sz="4" w:space="0" w:color="000000"/>
              <w:right w:val="single" w:sz="4" w:space="0" w:color="000000"/>
            </w:tcBorders>
            <w:shd w:val="clear" w:color="auto" w:fill="F2F2F2"/>
          </w:tcPr>
          <w:p w14:paraId="6581036D" w14:textId="77777777" w:rsidR="003D3187" w:rsidRDefault="00000000">
            <w:pPr>
              <w:spacing w:after="0" w:line="259" w:lineRule="auto"/>
              <w:ind w:left="107" w:firstLine="0"/>
            </w:pPr>
            <w:r>
              <w:rPr>
                <w:b/>
                <w:sz w:val="20"/>
              </w:rPr>
              <w:t xml:space="preserve">Projected Net Budget </w:t>
            </w:r>
          </w:p>
        </w:tc>
        <w:tc>
          <w:tcPr>
            <w:tcW w:w="1370" w:type="dxa"/>
            <w:tcBorders>
              <w:top w:val="single" w:sz="4" w:space="0" w:color="000000"/>
              <w:left w:val="single" w:sz="4" w:space="0" w:color="000000"/>
              <w:bottom w:val="single" w:sz="4" w:space="0" w:color="000000"/>
              <w:right w:val="nil"/>
            </w:tcBorders>
            <w:shd w:val="clear" w:color="auto" w:fill="F2F2F2"/>
          </w:tcPr>
          <w:p w14:paraId="216D514E" w14:textId="77777777" w:rsidR="003D3187" w:rsidRDefault="00000000">
            <w:pPr>
              <w:spacing w:after="0" w:line="259" w:lineRule="auto"/>
              <w:ind w:left="431" w:firstLine="0"/>
            </w:pPr>
            <w:r>
              <w:rPr>
                <w:b/>
                <w:sz w:val="20"/>
              </w:rPr>
              <w:t xml:space="preserve">423.816 </w:t>
            </w:r>
          </w:p>
        </w:tc>
        <w:tc>
          <w:tcPr>
            <w:tcW w:w="1263" w:type="dxa"/>
            <w:gridSpan w:val="2"/>
            <w:tcBorders>
              <w:top w:val="single" w:sz="4" w:space="0" w:color="000000"/>
              <w:left w:val="nil"/>
              <w:bottom w:val="single" w:sz="4" w:space="0" w:color="000000"/>
              <w:right w:val="nil"/>
            </w:tcBorders>
            <w:shd w:val="clear" w:color="auto" w:fill="F2F2F2"/>
          </w:tcPr>
          <w:p w14:paraId="79D4D59B" w14:textId="77777777" w:rsidR="003D3187" w:rsidRDefault="00000000">
            <w:pPr>
              <w:spacing w:after="0" w:line="259" w:lineRule="auto"/>
              <w:ind w:left="159" w:firstLine="0"/>
              <w:jc w:val="center"/>
            </w:pPr>
            <w:r>
              <w:rPr>
                <w:b/>
                <w:sz w:val="20"/>
              </w:rPr>
              <w:t xml:space="preserve">441.775 </w:t>
            </w:r>
          </w:p>
        </w:tc>
        <w:tc>
          <w:tcPr>
            <w:tcW w:w="1263" w:type="dxa"/>
            <w:gridSpan w:val="2"/>
            <w:tcBorders>
              <w:top w:val="single" w:sz="4" w:space="0" w:color="000000"/>
              <w:left w:val="nil"/>
              <w:bottom w:val="single" w:sz="4" w:space="0" w:color="000000"/>
              <w:right w:val="nil"/>
            </w:tcBorders>
            <w:shd w:val="clear" w:color="auto" w:fill="F2F2F2"/>
          </w:tcPr>
          <w:p w14:paraId="751384F4" w14:textId="77777777" w:rsidR="003D3187" w:rsidRDefault="00000000">
            <w:pPr>
              <w:spacing w:after="0" w:line="259" w:lineRule="auto"/>
              <w:ind w:left="159" w:firstLine="0"/>
              <w:jc w:val="center"/>
            </w:pPr>
            <w:r>
              <w:rPr>
                <w:b/>
                <w:sz w:val="20"/>
              </w:rPr>
              <w:t xml:space="preserve">462.760 </w:t>
            </w:r>
          </w:p>
        </w:tc>
        <w:tc>
          <w:tcPr>
            <w:tcW w:w="1154" w:type="dxa"/>
            <w:gridSpan w:val="2"/>
            <w:tcBorders>
              <w:top w:val="single" w:sz="4" w:space="0" w:color="000000"/>
              <w:left w:val="nil"/>
              <w:bottom w:val="single" w:sz="4" w:space="0" w:color="000000"/>
              <w:right w:val="single" w:sz="4" w:space="0" w:color="000000"/>
            </w:tcBorders>
            <w:shd w:val="clear" w:color="auto" w:fill="F2F2F2"/>
          </w:tcPr>
          <w:p w14:paraId="08E08958" w14:textId="77777777" w:rsidR="003D3187" w:rsidRDefault="00000000">
            <w:pPr>
              <w:spacing w:after="0" w:line="259" w:lineRule="auto"/>
              <w:ind w:left="0" w:right="56" w:firstLine="0"/>
              <w:jc w:val="right"/>
            </w:pPr>
            <w:r>
              <w:rPr>
                <w:b/>
                <w:sz w:val="20"/>
              </w:rPr>
              <w:t xml:space="preserve">486.782 </w:t>
            </w:r>
          </w:p>
        </w:tc>
      </w:tr>
      <w:tr w:rsidR="003D3187" w14:paraId="741B02AA" w14:textId="77777777">
        <w:trPr>
          <w:trHeight w:val="496"/>
        </w:trPr>
        <w:tc>
          <w:tcPr>
            <w:tcW w:w="3964" w:type="dxa"/>
            <w:tcBorders>
              <w:top w:val="single" w:sz="4" w:space="0" w:color="000000"/>
              <w:left w:val="single" w:sz="4" w:space="0" w:color="000000"/>
              <w:bottom w:val="nil"/>
              <w:right w:val="single" w:sz="4" w:space="0" w:color="000000"/>
            </w:tcBorders>
          </w:tcPr>
          <w:p w14:paraId="3DDC03C7" w14:textId="77777777" w:rsidR="003D3187" w:rsidRDefault="00000000">
            <w:pPr>
              <w:spacing w:after="0" w:line="259" w:lineRule="auto"/>
              <w:ind w:left="107" w:firstLine="0"/>
            </w:pPr>
            <w:r>
              <w:rPr>
                <w:sz w:val="20"/>
              </w:rPr>
              <w:t xml:space="preserve">Settlement (Retained Business Rates, Top-up, S31 Grants &amp; RSG)  </w:t>
            </w:r>
          </w:p>
        </w:tc>
        <w:tc>
          <w:tcPr>
            <w:tcW w:w="1370" w:type="dxa"/>
            <w:tcBorders>
              <w:top w:val="single" w:sz="4" w:space="0" w:color="000000"/>
              <w:left w:val="single" w:sz="4" w:space="0" w:color="000000"/>
              <w:bottom w:val="nil"/>
              <w:right w:val="nil"/>
            </w:tcBorders>
            <w:vAlign w:val="center"/>
          </w:tcPr>
          <w:p w14:paraId="3C89C9E0" w14:textId="77777777" w:rsidR="003D3187" w:rsidRDefault="00000000">
            <w:pPr>
              <w:spacing w:after="0" w:line="259" w:lineRule="auto"/>
              <w:ind w:left="133" w:firstLine="0"/>
              <w:jc w:val="center"/>
            </w:pPr>
            <w:r>
              <w:rPr>
                <w:sz w:val="20"/>
              </w:rPr>
              <w:t xml:space="preserve">(254.657) </w:t>
            </w:r>
          </w:p>
        </w:tc>
        <w:tc>
          <w:tcPr>
            <w:tcW w:w="1263" w:type="dxa"/>
            <w:gridSpan w:val="2"/>
            <w:tcBorders>
              <w:top w:val="single" w:sz="4" w:space="0" w:color="000000"/>
              <w:left w:val="nil"/>
              <w:bottom w:val="nil"/>
              <w:right w:val="nil"/>
            </w:tcBorders>
            <w:vAlign w:val="center"/>
          </w:tcPr>
          <w:p w14:paraId="0D127563" w14:textId="77777777" w:rsidR="003D3187" w:rsidRDefault="00000000">
            <w:pPr>
              <w:spacing w:after="0" w:line="259" w:lineRule="auto"/>
              <w:ind w:left="26" w:firstLine="0"/>
              <w:jc w:val="center"/>
            </w:pPr>
            <w:r>
              <w:rPr>
                <w:sz w:val="20"/>
              </w:rPr>
              <w:t xml:space="preserve">(273.564) </w:t>
            </w:r>
          </w:p>
        </w:tc>
        <w:tc>
          <w:tcPr>
            <w:tcW w:w="1263" w:type="dxa"/>
            <w:gridSpan w:val="2"/>
            <w:tcBorders>
              <w:top w:val="single" w:sz="4" w:space="0" w:color="000000"/>
              <w:left w:val="nil"/>
              <w:bottom w:val="nil"/>
              <w:right w:val="nil"/>
            </w:tcBorders>
            <w:vAlign w:val="center"/>
          </w:tcPr>
          <w:p w14:paraId="182E16BB" w14:textId="77777777" w:rsidR="003D3187" w:rsidRDefault="00000000">
            <w:pPr>
              <w:spacing w:after="0" w:line="259" w:lineRule="auto"/>
              <w:ind w:left="26" w:firstLine="0"/>
              <w:jc w:val="center"/>
            </w:pPr>
            <w:r>
              <w:rPr>
                <w:sz w:val="20"/>
              </w:rPr>
              <w:t xml:space="preserve">(293.116) </w:t>
            </w:r>
          </w:p>
        </w:tc>
        <w:tc>
          <w:tcPr>
            <w:tcW w:w="1154" w:type="dxa"/>
            <w:gridSpan w:val="2"/>
            <w:tcBorders>
              <w:top w:val="single" w:sz="4" w:space="0" w:color="000000"/>
              <w:left w:val="nil"/>
              <w:bottom w:val="nil"/>
              <w:right w:val="single" w:sz="4" w:space="0" w:color="000000"/>
            </w:tcBorders>
            <w:vAlign w:val="center"/>
          </w:tcPr>
          <w:p w14:paraId="3B2ACD84" w14:textId="77777777" w:rsidR="003D3187" w:rsidRDefault="00000000">
            <w:pPr>
              <w:spacing w:after="0" w:line="259" w:lineRule="auto"/>
              <w:ind w:left="0" w:right="56" w:firstLine="0"/>
              <w:jc w:val="right"/>
            </w:pPr>
            <w:r>
              <w:rPr>
                <w:sz w:val="20"/>
              </w:rPr>
              <w:t xml:space="preserve">(297.819) </w:t>
            </w:r>
          </w:p>
        </w:tc>
      </w:tr>
      <w:tr w:rsidR="003D3187" w14:paraId="679AE455" w14:textId="77777777">
        <w:trPr>
          <w:trHeight w:val="255"/>
        </w:trPr>
        <w:tc>
          <w:tcPr>
            <w:tcW w:w="3964" w:type="dxa"/>
            <w:tcBorders>
              <w:top w:val="nil"/>
              <w:left w:val="single" w:sz="4" w:space="0" w:color="000000"/>
              <w:bottom w:val="nil"/>
              <w:right w:val="single" w:sz="4" w:space="0" w:color="000000"/>
            </w:tcBorders>
          </w:tcPr>
          <w:p w14:paraId="4B42190F" w14:textId="77777777" w:rsidR="003D3187" w:rsidRDefault="00000000">
            <w:pPr>
              <w:spacing w:after="0" w:line="259" w:lineRule="auto"/>
              <w:ind w:left="107" w:firstLine="0"/>
            </w:pPr>
            <w:r>
              <w:rPr>
                <w:sz w:val="20"/>
              </w:rPr>
              <w:t xml:space="preserve">Council Tax  </w:t>
            </w:r>
          </w:p>
        </w:tc>
        <w:tc>
          <w:tcPr>
            <w:tcW w:w="1370" w:type="dxa"/>
            <w:tcBorders>
              <w:top w:val="nil"/>
              <w:left w:val="single" w:sz="4" w:space="0" w:color="000000"/>
              <w:bottom w:val="nil"/>
              <w:right w:val="nil"/>
            </w:tcBorders>
          </w:tcPr>
          <w:p w14:paraId="41C84478" w14:textId="77777777" w:rsidR="003D3187" w:rsidRDefault="00000000">
            <w:pPr>
              <w:spacing w:after="0" w:line="259" w:lineRule="auto"/>
              <w:ind w:left="133" w:firstLine="0"/>
              <w:jc w:val="center"/>
            </w:pPr>
            <w:r>
              <w:rPr>
                <w:sz w:val="20"/>
              </w:rPr>
              <w:t xml:space="preserve">(170.162) </w:t>
            </w:r>
          </w:p>
        </w:tc>
        <w:tc>
          <w:tcPr>
            <w:tcW w:w="1263" w:type="dxa"/>
            <w:gridSpan w:val="2"/>
            <w:tcBorders>
              <w:top w:val="nil"/>
              <w:left w:val="nil"/>
              <w:bottom w:val="nil"/>
              <w:right w:val="nil"/>
            </w:tcBorders>
          </w:tcPr>
          <w:p w14:paraId="3AF77846" w14:textId="77777777" w:rsidR="003D3187" w:rsidRDefault="00000000">
            <w:pPr>
              <w:spacing w:after="0" w:line="259" w:lineRule="auto"/>
              <w:ind w:left="26" w:firstLine="0"/>
              <w:jc w:val="center"/>
            </w:pPr>
            <w:r>
              <w:rPr>
                <w:sz w:val="20"/>
              </w:rPr>
              <w:t xml:space="preserve">(171.497) </w:t>
            </w:r>
          </w:p>
        </w:tc>
        <w:tc>
          <w:tcPr>
            <w:tcW w:w="1263" w:type="dxa"/>
            <w:gridSpan w:val="2"/>
            <w:tcBorders>
              <w:top w:val="nil"/>
              <w:left w:val="nil"/>
              <w:bottom w:val="nil"/>
              <w:right w:val="nil"/>
            </w:tcBorders>
          </w:tcPr>
          <w:p w14:paraId="42CDF69D" w14:textId="77777777" w:rsidR="003D3187" w:rsidRDefault="00000000">
            <w:pPr>
              <w:spacing w:after="0" w:line="259" w:lineRule="auto"/>
              <w:ind w:left="26" w:firstLine="0"/>
              <w:jc w:val="center"/>
            </w:pPr>
            <w:r>
              <w:rPr>
                <w:sz w:val="20"/>
              </w:rPr>
              <w:t xml:space="preserve">(172.835) </w:t>
            </w:r>
          </w:p>
        </w:tc>
        <w:tc>
          <w:tcPr>
            <w:tcW w:w="1154" w:type="dxa"/>
            <w:gridSpan w:val="2"/>
            <w:tcBorders>
              <w:top w:val="nil"/>
              <w:left w:val="nil"/>
              <w:bottom w:val="nil"/>
              <w:right w:val="single" w:sz="4" w:space="0" w:color="000000"/>
            </w:tcBorders>
          </w:tcPr>
          <w:p w14:paraId="727AAF10" w14:textId="77777777" w:rsidR="003D3187" w:rsidRDefault="00000000">
            <w:pPr>
              <w:spacing w:after="0" w:line="259" w:lineRule="auto"/>
              <w:ind w:left="0" w:right="56" w:firstLine="0"/>
              <w:jc w:val="right"/>
            </w:pPr>
            <w:r>
              <w:rPr>
                <w:sz w:val="20"/>
              </w:rPr>
              <w:t xml:space="preserve">(174.172) </w:t>
            </w:r>
          </w:p>
        </w:tc>
      </w:tr>
      <w:tr w:rsidR="003D3187" w14:paraId="5963B1FC" w14:textId="77777777">
        <w:trPr>
          <w:trHeight w:val="248"/>
        </w:trPr>
        <w:tc>
          <w:tcPr>
            <w:tcW w:w="3964" w:type="dxa"/>
            <w:tcBorders>
              <w:top w:val="nil"/>
              <w:left w:val="single" w:sz="4" w:space="0" w:color="000000"/>
              <w:bottom w:val="single" w:sz="4" w:space="0" w:color="000000"/>
              <w:right w:val="single" w:sz="4" w:space="0" w:color="000000"/>
            </w:tcBorders>
          </w:tcPr>
          <w:p w14:paraId="3C3683E5" w14:textId="77777777" w:rsidR="003D3187" w:rsidRDefault="00000000">
            <w:pPr>
              <w:spacing w:after="0" w:line="259" w:lineRule="auto"/>
              <w:ind w:left="107" w:firstLine="0"/>
            </w:pPr>
            <w:r>
              <w:rPr>
                <w:sz w:val="20"/>
              </w:rPr>
              <w:t xml:space="preserve">Collection Fund </w:t>
            </w:r>
          </w:p>
        </w:tc>
        <w:tc>
          <w:tcPr>
            <w:tcW w:w="1370" w:type="dxa"/>
            <w:tcBorders>
              <w:top w:val="nil"/>
              <w:left w:val="single" w:sz="4" w:space="0" w:color="000000"/>
              <w:bottom w:val="single" w:sz="4" w:space="0" w:color="000000"/>
              <w:right w:val="nil"/>
            </w:tcBorders>
          </w:tcPr>
          <w:p w14:paraId="126EBB11" w14:textId="77777777" w:rsidR="003D3187" w:rsidRDefault="00000000">
            <w:pPr>
              <w:spacing w:after="0" w:line="259" w:lineRule="auto"/>
              <w:ind w:left="653" w:firstLine="0"/>
            </w:pPr>
            <w:r>
              <w:rPr>
                <w:sz w:val="20"/>
              </w:rPr>
              <w:t xml:space="preserve">0.000 </w:t>
            </w:r>
          </w:p>
        </w:tc>
        <w:tc>
          <w:tcPr>
            <w:tcW w:w="1263" w:type="dxa"/>
            <w:gridSpan w:val="2"/>
            <w:tcBorders>
              <w:top w:val="nil"/>
              <w:left w:val="nil"/>
              <w:bottom w:val="single" w:sz="4" w:space="0" w:color="000000"/>
              <w:right w:val="nil"/>
            </w:tcBorders>
          </w:tcPr>
          <w:p w14:paraId="3D0B2A9B" w14:textId="77777777" w:rsidR="003D3187" w:rsidRDefault="00000000">
            <w:pPr>
              <w:spacing w:after="0" w:line="259" w:lineRule="auto"/>
              <w:ind w:left="547" w:firstLine="0"/>
            </w:pPr>
            <w:r>
              <w:rPr>
                <w:sz w:val="20"/>
              </w:rPr>
              <w:t xml:space="preserve">0.000 </w:t>
            </w:r>
          </w:p>
        </w:tc>
        <w:tc>
          <w:tcPr>
            <w:tcW w:w="1263" w:type="dxa"/>
            <w:gridSpan w:val="2"/>
            <w:tcBorders>
              <w:top w:val="nil"/>
              <w:left w:val="nil"/>
              <w:bottom w:val="single" w:sz="4" w:space="0" w:color="000000"/>
              <w:right w:val="nil"/>
            </w:tcBorders>
          </w:tcPr>
          <w:p w14:paraId="706E5552" w14:textId="77777777" w:rsidR="003D3187" w:rsidRDefault="00000000">
            <w:pPr>
              <w:spacing w:after="0" w:line="259" w:lineRule="auto"/>
              <w:ind w:left="547" w:firstLine="0"/>
            </w:pPr>
            <w:r>
              <w:rPr>
                <w:sz w:val="20"/>
              </w:rPr>
              <w:t xml:space="preserve">0.000 </w:t>
            </w:r>
          </w:p>
        </w:tc>
        <w:tc>
          <w:tcPr>
            <w:tcW w:w="1154" w:type="dxa"/>
            <w:gridSpan w:val="2"/>
            <w:tcBorders>
              <w:top w:val="nil"/>
              <w:left w:val="nil"/>
              <w:bottom w:val="single" w:sz="4" w:space="0" w:color="000000"/>
              <w:right w:val="single" w:sz="4" w:space="0" w:color="000000"/>
            </w:tcBorders>
          </w:tcPr>
          <w:p w14:paraId="53CC22E6" w14:textId="77777777" w:rsidR="003D3187" w:rsidRDefault="00000000">
            <w:pPr>
              <w:spacing w:after="0" w:line="259" w:lineRule="auto"/>
              <w:ind w:left="0" w:right="56" w:firstLine="0"/>
              <w:jc w:val="right"/>
            </w:pPr>
            <w:r>
              <w:rPr>
                <w:sz w:val="20"/>
              </w:rPr>
              <w:t xml:space="preserve">0.000 </w:t>
            </w:r>
          </w:p>
        </w:tc>
      </w:tr>
      <w:tr w:rsidR="003D3187" w14:paraId="386BE2B4" w14:textId="77777777">
        <w:trPr>
          <w:trHeight w:val="274"/>
        </w:trPr>
        <w:tc>
          <w:tcPr>
            <w:tcW w:w="3964" w:type="dxa"/>
            <w:tcBorders>
              <w:top w:val="single" w:sz="4" w:space="0" w:color="000000"/>
              <w:left w:val="single" w:sz="4" w:space="0" w:color="000000"/>
              <w:bottom w:val="single" w:sz="4" w:space="0" w:color="000000"/>
              <w:right w:val="single" w:sz="4" w:space="0" w:color="000000"/>
            </w:tcBorders>
            <w:shd w:val="clear" w:color="auto" w:fill="F2F2F2"/>
          </w:tcPr>
          <w:p w14:paraId="60B007FB" w14:textId="77777777" w:rsidR="003D3187" w:rsidRDefault="00000000">
            <w:pPr>
              <w:spacing w:after="0" w:line="259" w:lineRule="auto"/>
              <w:ind w:left="107" w:firstLine="0"/>
            </w:pPr>
            <w:r>
              <w:rPr>
                <w:b/>
                <w:sz w:val="20"/>
              </w:rPr>
              <w:t xml:space="preserve">Projected Core Funding </w:t>
            </w:r>
          </w:p>
        </w:tc>
        <w:tc>
          <w:tcPr>
            <w:tcW w:w="1370" w:type="dxa"/>
            <w:tcBorders>
              <w:top w:val="single" w:sz="4" w:space="0" w:color="000000"/>
              <w:left w:val="single" w:sz="4" w:space="0" w:color="000000"/>
              <w:bottom w:val="single" w:sz="4" w:space="0" w:color="000000"/>
              <w:right w:val="nil"/>
            </w:tcBorders>
            <w:shd w:val="clear" w:color="auto" w:fill="F2F2F2"/>
          </w:tcPr>
          <w:p w14:paraId="5C2F168D" w14:textId="77777777" w:rsidR="003D3187" w:rsidRDefault="00000000">
            <w:pPr>
              <w:spacing w:after="0" w:line="259" w:lineRule="auto"/>
              <w:ind w:left="133" w:firstLine="0"/>
              <w:jc w:val="center"/>
            </w:pPr>
            <w:r>
              <w:rPr>
                <w:b/>
                <w:sz w:val="20"/>
              </w:rPr>
              <w:t xml:space="preserve">(424.819) </w:t>
            </w:r>
          </w:p>
        </w:tc>
        <w:tc>
          <w:tcPr>
            <w:tcW w:w="1263" w:type="dxa"/>
            <w:gridSpan w:val="2"/>
            <w:tcBorders>
              <w:top w:val="single" w:sz="4" w:space="0" w:color="000000"/>
              <w:left w:val="nil"/>
              <w:bottom w:val="single" w:sz="4" w:space="0" w:color="000000"/>
              <w:right w:val="nil"/>
            </w:tcBorders>
            <w:shd w:val="clear" w:color="auto" w:fill="F2F2F2"/>
          </w:tcPr>
          <w:p w14:paraId="15810E6B" w14:textId="77777777" w:rsidR="003D3187" w:rsidRDefault="00000000">
            <w:pPr>
              <w:spacing w:after="0" w:line="259" w:lineRule="auto"/>
              <w:ind w:left="26" w:firstLine="0"/>
              <w:jc w:val="center"/>
            </w:pPr>
            <w:r>
              <w:rPr>
                <w:b/>
                <w:sz w:val="20"/>
              </w:rPr>
              <w:t xml:space="preserve">(445.061) </w:t>
            </w:r>
          </w:p>
        </w:tc>
        <w:tc>
          <w:tcPr>
            <w:tcW w:w="1263" w:type="dxa"/>
            <w:gridSpan w:val="2"/>
            <w:tcBorders>
              <w:top w:val="single" w:sz="4" w:space="0" w:color="000000"/>
              <w:left w:val="nil"/>
              <w:bottom w:val="single" w:sz="4" w:space="0" w:color="000000"/>
              <w:right w:val="nil"/>
            </w:tcBorders>
            <w:shd w:val="clear" w:color="auto" w:fill="F2F2F2"/>
          </w:tcPr>
          <w:p w14:paraId="1312E7A1" w14:textId="77777777" w:rsidR="003D3187" w:rsidRDefault="00000000">
            <w:pPr>
              <w:spacing w:after="0" w:line="259" w:lineRule="auto"/>
              <w:ind w:left="26" w:firstLine="0"/>
              <w:jc w:val="center"/>
            </w:pPr>
            <w:r>
              <w:rPr>
                <w:b/>
                <w:sz w:val="20"/>
              </w:rPr>
              <w:t xml:space="preserve">(465.951) </w:t>
            </w:r>
          </w:p>
        </w:tc>
        <w:tc>
          <w:tcPr>
            <w:tcW w:w="1154" w:type="dxa"/>
            <w:gridSpan w:val="2"/>
            <w:tcBorders>
              <w:top w:val="single" w:sz="4" w:space="0" w:color="000000"/>
              <w:left w:val="nil"/>
              <w:bottom w:val="single" w:sz="4" w:space="0" w:color="000000"/>
              <w:right w:val="single" w:sz="4" w:space="0" w:color="000000"/>
            </w:tcBorders>
            <w:shd w:val="clear" w:color="auto" w:fill="F2F2F2"/>
          </w:tcPr>
          <w:p w14:paraId="574CCD46" w14:textId="77777777" w:rsidR="003D3187" w:rsidRDefault="00000000">
            <w:pPr>
              <w:spacing w:after="0" w:line="259" w:lineRule="auto"/>
              <w:ind w:left="0" w:right="56" w:firstLine="0"/>
              <w:jc w:val="right"/>
            </w:pPr>
            <w:r>
              <w:rPr>
                <w:b/>
                <w:sz w:val="20"/>
              </w:rPr>
              <w:t xml:space="preserve">(471.991) </w:t>
            </w:r>
          </w:p>
        </w:tc>
      </w:tr>
      <w:tr w:rsidR="003D3187" w14:paraId="19E8E8C4" w14:textId="77777777">
        <w:trPr>
          <w:trHeight w:val="273"/>
        </w:trPr>
        <w:tc>
          <w:tcPr>
            <w:tcW w:w="3964" w:type="dxa"/>
            <w:tcBorders>
              <w:top w:val="single" w:sz="4" w:space="0" w:color="000000"/>
              <w:left w:val="single" w:sz="4" w:space="0" w:color="000000"/>
              <w:bottom w:val="single" w:sz="4" w:space="0" w:color="000000"/>
              <w:right w:val="single" w:sz="4" w:space="0" w:color="000000"/>
            </w:tcBorders>
            <w:shd w:val="clear" w:color="auto" w:fill="F2F2F2"/>
          </w:tcPr>
          <w:p w14:paraId="1DE4D8ED" w14:textId="77777777" w:rsidR="003D3187" w:rsidRDefault="00000000">
            <w:pPr>
              <w:spacing w:after="0" w:line="259" w:lineRule="auto"/>
              <w:ind w:left="107" w:firstLine="0"/>
            </w:pPr>
            <w:r>
              <w:rPr>
                <w:b/>
                <w:sz w:val="20"/>
              </w:rPr>
              <w:t xml:space="preserve">Cumulative Budget Gap </w:t>
            </w:r>
          </w:p>
        </w:tc>
        <w:tc>
          <w:tcPr>
            <w:tcW w:w="1370" w:type="dxa"/>
            <w:tcBorders>
              <w:top w:val="single" w:sz="4" w:space="0" w:color="000000"/>
              <w:left w:val="single" w:sz="4" w:space="0" w:color="000000"/>
              <w:bottom w:val="single" w:sz="4" w:space="0" w:color="000000"/>
              <w:right w:val="nil"/>
            </w:tcBorders>
            <w:shd w:val="clear" w:color="auto" w:fill="F2F2F2"/>
          </w:tcPr>
          <w:p w14:paraId="6F62C526" w14:textId="77777777" w:rsidR="003D3187" w:rsidRDefault="00000000">
            <w:pPr>
              <w:spacing w:after="0" w:line="259" w:lineRule="auto"/>
              <w:ind w:left="520" w:firstLine="0"/>
            </w:pPr>
            <w:r>
              <w:rPr>
                <w:b/>
                <w:sz w:val="20"/>
              </w:rPr>
              <w:t xml:space="preserve">(1.002) </w:t>
            </w:r>
          </w:p>
        </w:tc>
        <w:tc>
          <w:tcPr>
            <w:tcW w:w="1263" w:type="dxa"/>
            <w:gridSpan w:val="2"/>
            <w:tcBorders>
              <w:top w:val="single" w:sz="4" w:space="0" w:color="000000"/>
              <w:left w:val="nil"/>
              <w:bottom w:val="single" w:sz="4" w:space="0" w:color="000000"/>
              <w:right w:val="nil"/>
            </w:tcBorders>
            <w:shd w:val="clear" w:color="auto" w:fill="F2F2F2"/>
          </w:tcPr>
          <w:p w14:paraId="3B3246D4" w14:textId="77777777" w:rsidR="003D3187" w:rsidRDefault="00000000">
            <w:pPr>
              <w:spacing w:after="0" w:line="259" w:lineRule="auto"/>
              <w:ind w:left="413" w:firstLine="0"/>
            </w:pPr>
            <w:r>
              <w:rPr>
                <w:b/>
                <w:sz w:val="20"/>
              </w:rPr>
              <w:t xml:space="preserve">(3.286) </w:t>
            </w:r>
          </w:p>
        </w:tc>
        <w:tc>
          <w:tcPr>
            <w:tcW w:w="1263" w:type="dxa"/>
            <w:gridSpan w:val="2"/>
            <w:tcBorders>
              <w:top w:val="single" w:sz="4" w:space="0" w:color="000000"/>
              <w:left w:val="nil"/>
              <w:bottom w:val="single" w:sz="4" w:space="0" w:color="000000"/>
              <w:right w:val="nil"/>
            </w:tcBorders>
            <w:shd w:val="clear" w:color="auto" w:fill="F2F2F2"/>
          </w:tcPr>
          <w:p w14:paraId="12D40EF5" w14:textId="77777777" w:rsidR="003D3187" w:rsidRDefault="00000000">
            <w:pPr>
              <w:spacing w:after="0" w:line="259" w:lineRule="auto"/>
              <w:ind w:left="413" w:firstLine="0"/>
            </w:pPr>
            <w:r>
              <w:rPr>
                <w:b/>
                <w:sz w:val="20"/>
              </w:rPr>
              <w:t xml:space="preserve">(3.191) </w:t>
            </w:r>
          </w:p>
        </w:tc>
        <w:tc>
          <w:tcPr>
            <w:tcW w:w="1154" w:type="dxa"/>
            <w:gridSpan w:val="2"/>
            <w:tcBorders>
              <w:top w:val="single" w:sz="4" w:space="0" w:color="000000"/>
              <w:left w:val="nil"/>
              <w:bottom w:val="single" w:sz="4" w:space="0" w:color="000000"/>
              <w:right w:val="single" w:sz="4" w:space="0" w:color="000000"/>
            </w:tcBorders>
            <w:shd w:val="clear" w:color="auto" w:fill="F2F2F2"/>
          </w:tcPr>
          <w:p w14:paraId="6C4E7B9B" w14:textId="77777777" w:rsidR="003D3187" w:rsidRDefault="00000000">
            <w:pPr>
              <w:spacing w:after="0" w:line="259" w:lineRule="auto"/>
              <w:ind w:left="0" w:right="56" w:firstLine="0"/>
              <w:jc w:val="right"/>
            </w:pPr>
            <w:r>
              <w:rPr>
                <w:b/>
                <w:sz w:val="20"/>
              </w:rPr>
              <w:t xml:space="preserve">14.791 </w:t>
            </w:r>
          </w:p>
        </w:tc>
      </w:tr>
      <w:tr w:rsidR="003D3187" w14:paraId="1FF2077A" w14:textId="77777777">
        <w:trPr>
          <w:trHeight w:val="277"/>
        </w:trPr>
        <w:tc>
          <w:tcPr>
            <w:tcW w:w="3964" w:type="dxa"/>
            <w:tcBorders>
              <w:top w:val="single" w:sz="4" w:space="0" w:color="000000"/>
              <w:left w:val="single" w:sz="4" w:space="0" w:color="000000"/>
              <w:bottom w:val="single" w:sz="4" w:space="0" w:color="000000"/>
              <w:right w:val="nil"/>
            </w:tcBorders>
          </w:tcPr>
          <w:p w14:paraId="173659A2" w14:textId="77777777" w:rsidR="003D3187" w:rsidRDefault="00000000">
            <w:pPr>
              <w:spacing w:after="0" w:line="259" w:lineRule="auto"/>
              <w:ind w:left="0" w:right="3" w:firstLine="0"/>
              <w:jc w:val="right"/>
            </w:pPr>
            <w:r>
              <w:rPr>
                <w:b/>
                <w:sz w:val="20"/>
              </w:rPr>
              <w:t xml:space="preserve"> </w:t>
            </w:r>
          </w:p>
        </w:tc>
        <w:tc>
          <w:tcPr>
            <w:tcW w:w="1370" w:type="dxa"/>
            <w:tcBorders>
              <w:top w:val="single" w:sz="4" w:space="0" w:color="000000"/>
              <w:left w:val="nil"/>
              <w:bottom w:val="single" w:sz="4" w:space="0" w:color="000000"/>
              <w:right w:val="nil"/>
            </w:tcBorders>
          </w:tcPr>
          <w:p w14:paraId="1B1958B2" w14:textId="77777777" w:rsidR="003D3187" w:rsidRDefault="00000000">
            <w:pPr>
              <w:spacing w:after="0" w:line="259" w:lineRule="auto"/>
              <w:ind w:left="107" w:firstLine="0"/>
            </w:pPr>
            <w:r>
              <w:rPr>
                <w:sz w:val="20"/>
              </w:rPr>
              <w:t xml:space="preserve"> </w:t>
            </w:r>
          </w:p>
        </w:tc>
        <w:tc>
          <w:tcPr>
            <w:tcW w:w="1263" w:type="dxa"/>
            <w:gridSpan w:val="2"/>
            <w:tcBorders>
              <w:top w:val="single" w:sz="4" w:space="0" w:color="000000"/>
              <w:left w:val="nil"/>
              <w:bottom w:val="single" w:sz="4" w:space="0" w:color="000000"/>
              <w:right w:val="nil"/>
            </w:tcBorders>
          </w:tcPr>
          <w:p w14:paraId="366C6B06" w14:textId="77777777" w:rsidR="003D3187" w:rsidRDefault="00000000">
            <w:pPr>
              <w:spacing w:after="0" w:line="259" w:lineRule="auto"/>
              <w:ind w:left="0" w:firstLine="0"/>
            </w:pPr>
            <w:r>
              <w:rPr>
                <w:sz w:val="20"/>
              </w:rPr>
              <w:t xml:space="preserve"> </w:t>
            </w:r>
          </w:p>
        </w:tc>
        <w:tc>
          <w:tcPr>
            <w:tcW w:w="1263" w:type="dxa"/>
            <w:gridSpan w:val="2"/>
            <w:tcBorders>
              <w:top w:val="single" w:sz="4" w:space="0" w:color="000000"/>
              <w:left w:val="nil"/>
              <w:bottom w:val="single" w:sz="4" w:space="0" w:color="000000"/>
              <w:right w:val="nil"/>
            </w:tcBorders>
          </w:tcPr>
          <w:p w14:paraId="78528E28" w14:textId="77777777" w:rsidR="003D3187" w:rsidRDefault="00000000">
            <w:pPr>
              <w:spacing w:after="0" w:line="259" w:lineRule="auto"/>
              <w:ind w:left="0" w:firstLine="0"/>
            </w:pPr>
            <w:r>
              <w:rPr>
                <w:sz w:val="20"/>
              </w:rPr>
              <w:t xml:space="preserve"> </w:t>
            </w:r>
          </w:p>
        </w:tc>
        <w:tc>
          <w:tcPr>
            <w:tcW w:w="1154" w:type="dxa"/>
            <w:gridSpan w:val="2"/>
            <w:tcBorders>
              <w:top w:val="single" w:sz="4" w:space="0" w:color="000000"/>
              <w:left w:val="nil"/>
              <w:bottom w:val="single" w:sz="4" w:space="0" w:color="000000"/>
              <w:right w:val="nil"/>
            </w:tcBorders>
          </w:tcPr>
          <w:p w14:paraId="12249197" w14:textId="77777777" w:rsidR="003D3187" w:rsidRDefault="00000000">
            <w:pPr>
              <w:spacing w:after="0" w:line="259" w:lineRule="auto"/>
              <w:ind w:left="0" w:firstLine="0"/>
            </w:pPr>
            <w:r>
              <w:rPr>
                <w:sz w:val="20"/>
              </w:rPr>
              <w:t xml:space="preserve"> </w:t>
            </w:r>
          </w:p>
        </w:tc>
      </w:tr>
      <w:tr w:rsidR="003D3187" w14:paraId="4558C637" w14:textId="77777777">
        <w:trPr>
          <w:trHeight w:val="271"/>
        </w:trPr>
        <w:tc>
          <w:tcPr>
            <w:tcW w:w="3964" w:type="dxa"/>
            <w:tcBorders>
              <w:top w:val="single" w:sz="4" w:space="0" w:color="000000"/>
              <w:left w:val="single" w:sz="4" w:space="0" w:color="000000"/>
              <w:bottom w:val="single" w:sz="4" w:space="0" w:color="000000"/>
              <w:right w:val="single" w:sz="4" w:space="0" w:color="000000"/>
            </w:tcBorders>
            <w:shd w:val="clear" w:color="auto" w:fill="F2F2F2"/>
          </w:tcPr>
          <w:p w14:paraId="2315A0F3" w14:textId="77777777" w:rsidR="003D3187" w:rsidRDefault="00000000">
            <w:pPr>
              <w:spacing w:after="0" w:line="259" w:lineRule="auto"/>
              <w:ind w:left="107" w:firstLine="0"/>
            </w:pPr>
            <w:r>
              <w:rPr>
                <w:b/>
                <w:sz w:val="20"/>
              </w:rPr>
              <w:t xml:space="preserve">Incremental Budget Gap </w:t>
            </w:r>
          </w:p>
        </w:tc>
        <w:tc>
          <w:tcPr>
            <w:tcW w:w="1370" w:type="dxa"/>
            <w:tcBorders>
              <w:top w:val="single" w:sz="4" w:space="0" w:color="000000"/>
              <w:left w:val="single" w:sz="4" w:space="0" w:color="000000"/>
              <w:bottom w:val="single" w:sz="4" w:space="0" w:color="000000"/>
              <w:right w:val="nil"/>
            </w:tcBorders>
            <w:shd w:val="clear" w:color="auto" w:fill="F2F2F2"/>
          </w:tcPr>
          <w:p w14:paraId="0FCC44A6" w14:textId="77777777" w:rsidR="003D3187" w:rsidRDefault="00000000">
            <w:pPr>
              <w:spacing w:after="0" w:line="259" w:lineRule="auto"/>
              <w:ind w:left="520" w:firstLine="0"/>
            </w:pPr>
            <w:r>
              <w:rPr>
                <w:b/>
                <w:sz w:val="20"/>
              </w:rPr>
              <w:t xml:space="preserve">(1.002) </w:t>
            </w:r>
          </w:p>
        </w:tc>
        <w:tc>
          <w:tcPr>
            <w:tcW w:w="1263" w:type="dxa"/>
            <w:gridSpan w:val="2"/>
            <w:tcBorders>
              <w:top w:val="single" w:sz="4" w:space="0" w:color="000000"/>
              <w:left w:val="nil"/>
              <w:bottom w:val="single" w:sz="4" w:space="0" w:color="000000"/>
              <w:right w:val="nil"/>
            </w:tcBorders>
            <w:shd w:val="clear" w:color="auto" w:fill="F2F2F2"/>
          </w:tcPr>
          <w:p w14:paraId="2A725AE4" w14:textId="77777777" w:rsidR="003D3187" w:rsidRDefault="00000000">
            <w:pPr>
              <w:spacing w:after="0" w:line="259" w:lineRule="auto"/>
              <w:ind w:left="413" w:firstLine="0"/>
            </w:pPr>
            <w:r>
              <w:rPr>
                <w:b/>
                <w:sz w:val="20"/>
              </w:rPr>
              <w:t xml:space="preserve">(2.284) </w:t>
            </w:r>
          </w:p>
        </w:tc>
        <w:tc>
          <w:tcPr>
            <w:tcW w:w="1263" w:type="dxa"/>
            <w:gridSpan w:val="2"/>
            <w:tcBorders>
              <w:top w:val="single" w:sz="4" w:space="0" w:color="000000"/>
              <w:left w:val="nil"/>
              <w:bottom w:val="single" w:sz="4" w:space="0" w:color="000000"/>
              <w:right w:val="nil"/>
            </w:tcBorders>
            <w:shd w:val="clear" w:color="auto" w:fill="F2F2F2"/>
          </w:tcPr>
          <w:p w14:paraId="0015945B" w14:textId="77777777" w:rsidR="003D3187" w:rsidRDefault="00000000">
            <w:pPr>
              <w:spacing w:after="0" w:line="259" w:lineRule="auto"/>
              <w:ind w:left="547" w:firstLine="0"/>
            </w:pPr>
            <w:r>
              <w:rPr>
                <w:b/>
                <w:sz w:val="20"/>
              </w:rPr>
              <w:t xml:space="preserve">0.095 </w:t>
            </w:r>
          </w:p>
        </w:tc>
        <w:tc>
          <w:tcPr>
            <w:tcW w:w="1154" w:type="dxa"/>
            <w:gridSpan w:val="2"/>
            <w:tcBorders>
              <w:top w:val="single" w:sz="4" w:space="0" w:color="000000"/>
              <w:left w:val="nil"/>
              <w:bottom w:val="single" w:sz="4" w:space="0" w:color="000000"/>
              <w:right w:val="single" w:sz="4" w:space="0" w:color="000000"/>
            </w:tcBorders>
            <w:shd w:val="clear" w:color="auto" w:fill="F2F2F2"/>
          </w:tcPr>
          <w:p w14:paraId="56E90B06" w14:textId="77777777" w:rsidR="003D3187" w:rsidRDefault="00000000">
            <w:pPr>
              <w:spacing w:after="0" w:line="259" w:lineRule="auto"/>
              <w:ind w:left="0" w:right="56" w:firstLine="0"/>
              <w:jc w:val="right"/>
            </w:pPr>
            <w:r>
              <w:rPr>
                <w:b/>
                <w:sz w:val="20"/>
              </w:rPr>
              <w:t xml:space="preserve">17.982 </w:t>
            </w:r>
          </w:p>
        </w:tc>
      </w:tr>
    </w:tbl>
    <w:p w14:paraId="79B8F5B5" w14:textId="77777777" w:rsidR="003D3187" w:rsidRDefault="00000000">
      <w:pPr>
        <w:spacing w:after="0" w:line="259" w:lineRule="auto"/>
        <w:ind w:left="981" w:firstLine="0"/>
      </w:pPr>
      <w:r>
        <w:t xml:space="preserve"> </w:t>
      </w:r>
    </w:p>
    <w:p w14:paraId="47B716C4" w14:textId="77777777" w:rsidR="003D3187" w:rsidRDefault="00000000">
      <w:pPr>
        <w:ind w:left="1336" w:right="450"/>
      </w:pPr>
      <w:r>
        <w:t xml:space="preserve">4.4 It is important to recognise that many of the elements of growth and inflation are educated estimates.  As a principle, the council does not provide for general inflation and expects directorates to manage within existing cash envelopes unless it is specifically requested and is contractually agreed. Traditionally, NCC has over-provided for pay inflation but this benefit is rolled forward into future years protecting the council taxpayer from any sudden adjustments.  The existing detail is provided in Appendix 4.  </w:t>
      </w:r>
    </w:p>
    <w:p w14:paraId="55F13A57" w14:textId="77777777" w:rsidR="003D3187" w:rsidRDefault="00000000">
      <w:pPr>
        <w:pStyle w:val="Heading1"/>
        <w:spacing w:after="143"/>
        <w:ind w:left="784" w:right="533"/>
      </w:pPr>
      <w:r>
        <w:t>5.</w:t>
      </w:r>
      <w:r>
        <w:rPr>
          <w:rFonts w:ascii="Calibri" w:eastAsia="Calibri" w:hAnsi="Calibri" w:cs="Calibri"/>
          <w:sz w:val="22"/>
        </w:rPr>
        <w:t xml:space="preserve"> </w:t>
      </w:r>
      <w:r>
        <w:t>Overarching Strategy</w:t>
      </w:r>
      <w:r>
        <w:rPr>
          <w:rFonts w:ascii="Calibri" w:eastAsia="Calibri" w:hAnsi="Calibri" w:cs="Calibri"/>
          <w:sz w:val="22"/>
        </w:rPr>
        <w:t xml:space="preserve"> </w:t>
      </w:r>
    </w:p>
    <w:p w14:paraId="2257ECFB" w14:textId="77777777" w:rsidR="003D3187" w:rsidRDefault="00000000">
      <w:pPr>
        <w:spacing w:after="0" w:line="259" w:lineRule="auto"/>
        <w:ind w:left="981" w:firstLine="0"/>
      </w:pPr>
      <w:r>
        <w:t xml:space="preserve"> </w:t>
      </w:r>
    </w:p>
    <w:p w14:paraId="222B16B4" w14:textId="77777777" w:rsidR="003D3187" w:rsidRDefault="00000000">
      <w:pPr>
        <w:ind w:left="1336" w:right="450"/>
      </w:pPr>
      <w:r>
        <w:t xml:space="preserve">5.1 Until a balanced budget is set without use of EFS and the Section 151 Officer can have confidence on budget sustainability, demonstrated through multiple budget monitoring reports that the council can manage without use of reserves to balance off overspends, spend controls will remain in place.  The existing budget strategy objectives remain: </w:t>
      </w:r>
    </w:p>
    <w:p w14:paraId="6A12AFBC" w14:textId="77777777" w:rsidR="003D3187" w:rsidRDefault="00000000">
      <w:pPr>
        <w:numPr>
          <w:ilvl w:val="0"/>
          <w:numId w:val="5"/>
        </w:numPr>
        <w:spacing w:after="176"/>
        <w:ind w:right="450" w:hanging="567"/>
      </w:pPr>
      <w:r>
        <w:t xml:space="preserve">Set and deliver a balanced budget ensuring delivery of best value </w:t>
      </w:r>
    </w:p>
    <w:p w14:paraId="69ECAFE9" w14:textId="77777777" w:rsidR="003D3187" w:rsidRDefault="00000000">
      <w:pPr>
        <w:numPr>
          <w:ilvl w:val="0"/>
          <w:numId w:val="5"/>
        </w:numPr>
        <w:ind w:right="450" w:hanging="567"/>
      </w:pPr>
      <w:r>
        <w:t xml:space="preserve">Establish financial resilience to ensure the Council’s long term financial health and viability is sound </w:t>
      </w:r>
    </w:p>
    <w:p w14:paraId="38257E13" w14:textId="77777777" w:rsidR="003D3187" w:rsidRDefault="00000000">
      <w:pPr>
        <w:numPr>
          <w:ilvl w:val="0"/>
          <w:numId w:val="5"/>
        </w:numPr>
        <w:spacing w:after="176"/>
        <w:ind w:right="450" w:hanging="567"/>
      </w:pPr>
      <w:r>
        <w:t xml:space="preserve">Establish robust and credible delivery plans </w:t>
      </w:r>
    </w:p>
    <w:p w14:paraId="11625F1E" w14:textId="77777777" w:rsidR="003D3187" w:rsidRDefault="00000000">
      <w:pPr>
        <w:numPr>
          <w:ilvl w:val="0"/>
          <w:numId w:val="5"/>
        </w:numPr>
        <w:ind w:right="450" w:hanging="567"/>
      </w:pPr>
      <w:r>
        <w:t xml:space="preserve">Ensure effective early intervention and prevention across all service areas  </w:t>
      </w:r>
    </w:p>
    <w:p w14:paraId="05E7CEEE" w14:textId="77777777" w:rsidR="003D3187" w:rsidRDefault="00000000">
      <w:pPr>
        <w:numPr>
          <w:ilvl w:val="0"/>
          <w:numId w:val="5"/>
        </w:numPr>
        <w:ind w:right="450" w:hanging="567"/>
      </w:pPr>
      <w:r>
        <w:t xml:space="preserve">Maximise the transformation and change programme to redesign the Council to deliver continuous improvement which effectively manages and delivers services within existing means.  (This includes being able to demonstrate that they meet best value by comparison to unit costs from comparable neighbouring authorities) </w:t>
      </w:r>
    </w:p>
    <w:p w14:paraId="28FA2973" w14:textId="77777777" w:rsidR="003D3187" w:rsidRDefault="00000000">
      <w:pPr>
        <w:numPr>
          <w:ilvl w:val="0"/>
          <w:numId w:val="5"/>
        </w:numPr>
        <w:spacing w:after="176"/>
        <w:ind w:right="450" w:hanging="567"/>
      </w:pPr>
      <w:r>
        <w:t xml:space="preserve">Redefine our service offer aligned to the available financial envelope </w:t>
      </w:r>
    </w:p>
    <w:p w14:paraId="2014E1F8" w14:textId="77777777" w:rsidR="003D3187" w:rsidRDefault="00000000">
      <w:pPr>
        <w:numPr>
          <w:ilvl w:val="0"/>
          <w:numId w:val="5"/>
        </w:numPr>
        <w:ind w:right="450" w:hanging="567"/>
      </w:pPr>
      <w:r>
        <w:t xml:space="preserve">Ensure financial resources are effectively monitored and managed, in a high accountability environment </w:t>
      </w:r>
    </w:p>
    <w:p w14:paraId="5C2D9B9E" w14:textId="77777777" w:rsidR="003D3187" w:rsidRDefault="00000000">
      <w:pPr>
        <w:pStyle w:val="Heading1"/>
        <w:spacing w:after="135"/>
        <w:ind w:left="784" w:right="533"/>
      </w:pPr>
      <w:r>
        <w:t xml:space="preserve">6. Budgetary Process &amp; Savings Plans Development to Date </w:t>
      </w:r>
    </w:p>
    <w:p w14:paraId="5CB7E2E6" w14:textId="77777777" w:rsidR="003D3187" w:rsidRDefault="00000000">
      <w:pPr>
        <w:spacing w:after="0" w:line="240" w:lineRule="auto"/>
        <w:ind w:left="207" w:firstLine="0"/>
        <w:jc w:val="center"/>
      </w:pPr>
      <w:r>
        <w:t xml:space="preserve">6.1 A series of directorate driven star chambers were set up throughout June on a directorate by directorate basis that brought early proposals and potential </w:t>
      </w:r>
    </w:p>
    <w:p w14:paraId="15887DFB" w14:textId="77777777" w:rsidR="003D3187" w:rsidRDefault="00000000">
      <w:pPr>
        <w:ind w:left="1344" w:right="450" w:firstLine="0"/>
      </w:pPr>
      <w:r>
        <w:t xml:space="preserve">growth bids through for internal review by political leadership, senior officers and input from commissioners.   </w:t>
      </w:r>
    </w:p>
    <w:p w14:paraId="3055B34B" w14:textId="77777777" w:rsidR="003D3187" w:rsidRDefault="00000000">
      <w:pPr>
        <w:ind w:left="1336" w:right="450"/>
      </w:pPr>
      <w:r>
        <w:t xml:space="preserve">6.2 Expectations were set by political leadership, policy proposals were challenged for their credibility and Corporate Directors were requested to return with fully worked through proposals. </w:t>
      </w:r>
    </w:p>
    <w:p w14:paraId="62CC050F" w14:textId="77777777" w:rsidR="003D3187" w:rsidRDefault="00000000">
      <w:pPr>
        <w:ind w:left="1336" w:right="450"/>
      </w:pPr>
      <w:r>
        <w:t xml:space="preserve">6.3 During July, an early estimation of the savings gap was identified after detailed reviews of service pressures, with expert advice on future funding streams after the publishing of the consultation on Fair Funding 2.0. </w:t>
      </w:r>
    </w:p>
    <w:p w14:paraId="47EAEEDC" w14:textId="77777777" w:rsidR="003D3187" w:rsidRDefault="00000000">
      <w:pPr>
        <w:ind w:left="1336" w:right="450"/>
      </w:pPr>
      <w:r>
        <w:t xml:space="preserve">6.4 August began with a review of updated savings proposals through a second round of Star Chambers, additional options and more detailed reviews of service pressures and existing savings delivery.  The finalisation of these proposals have been modelled into savings options, allowing for the production of the draft Medium Term Financial Plan as the gap appears to be closed subject to the caveats around funding estimates.  Nonetheless, there is work underway between October and December to ensure that the savings models have actionable delivery plans so that the savings are in delivery mode by April 1st 2026. </w:t>
      </w:r>
    </w:p>
    <w:p w14:paraId="1ADA42AB" w14:textId="77777777" w:rsidR="003D3187" w:rsidRDefault="00000000">
      <w:pPr>
        <w:ind w:left="1336" w:right="450"/>
      </w:pPr>
      <w:r>
        <w:t xml:space="preserve">6.5 Even after the Draft Budget is under review, the position is subject to change and therefore, the council will consider contingency options in case the economic situation worsens and the Government considers alternative options. Moreover, with the need for continual savings to meet pressures that regularly are greater than Council Tax growth, already consideration needs to be given to 2027/28 and beyond, especially with the timing of Local Government Reorganisation, leading to less capacity during the merger period. </w:t>
      </w:r>
    </w:p>
    <w:p w14:paraId="423C5E4E" w14:textId="77777777" w:rsidR="003D3187" w:rsidRDefault="00000000">
      <w:pPr>
        <w:spacing w:after="0" w:line="259" w:lineRule="auto"/>
        <w:ind w:left="981" w:firstLine="0"/>
      </w:pPr>
      <w:r>
        <w:rPr>
          <w:b/>
        </w:rPr>
        <w:t xml:space="preserve"> </w:t>
      </w:r>
    </w:p>
    <w:p w14:paraId="20FABB6B" w14:textId="77777777" w:rsidR="003D3187" w:rsidRDefault="00000000">
      <w:pPr>
        <w:pStyle w:val="Heading1"/>
        <w:ind w:left="976" w:right="533"/>
      </w:pPr>
      <w:r>
        <w:t xml:space="preserve">Budgetary Consultation </w:t>
      </w:r>
    </w:p>
    <w:p w14:paraId="4DF4AC9F" w14:textId="77777777" w:rsidR="003D3187" w:rsidRDefault="00000000">
      <w:pPr>
        <w:spacing w:after="0" w:line="259" w:lineRule="auto"/>
        <w:ind w:left="981" w:firstLine="0"/>
      </w:pPr>
      <w:r>
        <w:rPr>
          <w:b/>
        </w:rPr>
        <w:t xml:space="preserve"> </w:t>
      </w:r>
    </w:p>
    <w:p w14:paraId="3E8F24CE" w14:textId="77777777" w:rsidR="003D3187" w:rsidRDefault="00000000">
      <w:pPr>
        <w:ind w:left="1336" w:right="450"/>
      </w:pPr>
      <w:r>
        <w:t xml:space="preserve">6.6 The council has a robust approach to consultation, which it presented at Corporate Scrutiny Committee on 24th September 2025 and this is explored in more detail in Appendix 5. </w:t>
      </w:r>
    </w:p>
    <w:p w14:paraId="1483D2E6" w14:textId="77777777" w:rsidR="003D3187" w:rsidRDefault="00000000">
      <w:pPr>
        <w:spacing w:after="0" w:line="259" w:lineRule="auto"/>
        <w:ind w:left="981" w:firstLine="0"/>
      </w:pPr>
      <w:r>
        <w:rPr>
          <w:b/>
        </w:rPr>
        <w:t xml:space="preserve"> </w:t>
      </w:r>
    </w:p>
    <w:p w14:paraId="203E6FCA" w14:textId="77777777" w:rsidR="003D3187" w:rsidRDefault="00000000">
      <w:pPr>
        <w:pStyle w:val="Heading1"/>
        <w:ind w:left="976" w:right="533"/>
      </w:pPr>
      <w:r>
        <w:t xml:space="preserve">Approach to 2026/27 Budget </w:t>
      </w:r>
    </w:p>
    <w:p w14:paraId="16534EA2" w14:textId="77777777" w:rsidR="003D3187" w:rsidRDefault="00000000">
      <w:pPr>
        <w:spacing w:after="0" w:line="259" w:lineRule="auto"/>
        <w:ind w:left="981" w:firstLine="0"/>
      </w:pPr>
      <w:r>
        <w:t xml:space="preserve"> </w:t>
      </w:r>
    </w:p>
    <w:p w14:paraId="14FC63D0" w14:textId="77777777" w:rsidR="003D3187" w:rsidRDefault="00000000">
      <w:pPr>
        <w:ind w:left="1336" w:right="450"/>
      </w:pPr>
      <w:r>
        <w:t xml:space="preserve">6.7 While the overriding strategy for the 2026/27 budget process is to extinguish the need for EFS, the council must also look to the future when it needs to stand on its own capabilities without the support of commissioners and that extra degree of challenge from which it currently benefits. Over 2025/26, the strategy is to demonstrate that it can be sustainable not just in setting a fully balanced budget but in how it can reinvest in the future while operating in very challenging financial environment. </w:t>
      </w:r>
    </w:p>
    <w:p w14:paraId="318DD690" w14:textId="77777777" w:rsidR="003D3187" w:rsidRDefault="00000000">
      <w:pPr>
        <w:ind w:left="1336" w:right="450"/>
      </w:pPr>
      <w:r>
        <w:t xml:space="preserve">6.8 Overall, the 2026/27 savings are more modest than those in 2025/26 approach, as it was deemed more important to stabilise the council’s finances by delivering on the existing savings.  It is important to recognise that there are potential risks to the current year budget as £11.2m of the expected savings have slipped and are now expected to be delivered in 2026/27.  In addition, it is necessary to write off £1.6m of Adult Social Care savings as these are undeliverable. Details are set out in Appendix 1. </w:t>
      </w:r>
    </w:p>
    <w:p w14:paraId="296D2E67" w14:textId="77777777" w:rsidR="003D3187" w:rsidRDefault="00000000">
      <w:pPr>
        <w:ind w:left="1336" w:right="450"/>
      </w:pPr>
      <w:r>
        <w:t xml:space="preserve">6.9 Between £11.4m of new 2026/27 savings and £10.1m previously approved 2026/27 savings, there should be sufficient savings to balance the budget subject to the caveats that: </w:t>
      </w:r>
    </w:p>
    <w:p w14:paraId="5C99E1F5" w14:textId="77777777" w:rsidR="003D3187" w:rsidRDefault="00000000">
      <w:pPr>
        <w:numPr>
          <w:ilvl w:val="0"/>
          <w:numId w:val="6"/>
        </w:numPr>
        <w:spacing w:after="176"/>
        <w:ind w:right="450" w:hanging="567"/>
      </w:pPr>
      <w:r>
        <w:t xml:space="preserve">Fair Funding 2.0 is broadly at the level that is expected </w:t>
      </w:r>
    </w:p>
    <w:p w14:paraId="167E6B38" w14:textId="77777777" w:rsidR="003D3187" w:rsidRDefault="00000000">
      <w:pPr>
        <w:numPr>
          <w:ilvl w:val="0"/>
          <w:numId w:val="6"/>
        </w:numPr>
        <w:spacing w:after="176"/>
        <w:ind w:right="450" w:hanging="567"/>
      </w:pPr>
      <w:r>
        <w:t xml:space="preserve">Existing savings are delivered and </w:t>
      </w:r>
    </w:p>
    <w:p w14:paraId="0AE3F673" w14:textId="77777777" w:rsidR="003D3187" w:rsidRDefault="00000000">
      <w:pPr>
        <w:numPr>
          <w:ilvl w:val="0"/>
          <w:numId w:val="6"/>
        </w:numPr>
        <w:ind w:right="450" w:hanging="567"/>
      </w:pPr>
      <w:r>
        <w:t xml:space="preserve">The risk from the Integrated Care Board’s (ICB) reduction for care packages and joint placements does not significantly increase </w:t>
      </w:r>
    </w:p>
    <w:p w14:paraId="6672489B" w14:textId="77777777" w:rsidR="003D3187" w:rsidRDefault="00000000">
      <w:pPr>
        <w:numPr>
          <w:ilvl w:val="1"/>
          <w:numId w:val="9"/>
        </w:numPr>
        <w:ind w:right="450" w:hanging="570"/>
      </w:pPr>
      <w:r>
        <w:t xml:space="preserve">These are significant challenges but that is why the Council has healthy contingencies to manage the level of risk. Using the latest P4 savings position, adjusting for savings anticipated to be written out, reviewing the saving tracker for deliverability, and reviewing existing and new 2026/27 savings, it was identified that a minimum £11.5m contingency was required.  This is explored in more detail in appendix 4. The continuation of the £15m contingency is therefore considered to be prudent in light of risks and uncertainties already highlighted above. </w:t>
      </w:r>
    </w:p>
    <w:p w14:paraId="4958504E" w14:textId="77777777" w:rsidR="003D3187" w:rsidRDefault="00000000">
      <w:pPr>
        <w:numPr>
          <w:ilvl w:val="1"/>
          <w:numId w:val="9"/>
        </w:numPr>
        <w:ind w:right="450" w:hanging="570"/>
      </w:pPr>
      <w:r>
        <w:t xml:space="preserve">It is important to appreciate that contingencies are not created to offset savings; rather they are to manage the risk from savings delays or non-delivery, while alternative measures are developed. </w:t>
      </w:r>
    </w:p>
    <w:p w14:paraId="5C0D8CB0" w14:textId="77777777" w:rsidR="003D3187" w:rsidRDefault="00000000">
      <w:pPr>
        <w:numPr>
          <w:ilvl w:val="1"/>
          <w:numId w:val="9"/>
        </w:numPr>
        <w:ind w:right="450" w:hanging="570"/>
      </w:pPr>
      <w:r>
        <w:t xml:space="preserve">There are three strands of the current budget: </w:t>
      </w:r>
    </w:p>
    <w:p w14:paraId="0EDB194D" w14:textId="77777777" w:rsidR="003D3187" w:rsidRDefault="00000000">
      <w:pPr>
        <w:spacing w:after="2" w:line="259" w:lineRule="auto"/>
        <w:ind w:left="976" w:hanging="10"/>
      </w:pPr>
      <w:r>
        <w:rPr>
          <w:u w:val="single" w:color="000000"/>
        </w:rPr>
        <w:t>Delivering on the current savings and Budget Housekeeping</w:t>
      </w:r>
      <w:r>
        <w:t xml:space="preserve"> </w:t>
      </w:r>
    </w:p>
    <w:p w14:paraId="06665EE4" w14:textId="77777777" w:rsidR="003D3187" w:rsidRDefault="00000000">
      <w:pPr>
        <w:spacing w:after="0" w:line="259" w:lineRule="auto"/>
        <w:ind w:left="981" w:firstLine="0"/>
      </w:pPr>
      <w:r>
        <w:t xml:space="preserve"> </w:t>
      </w:r>
    </w:p>
    <w:p w14:paraId="205301FC" w14:textId="77777777" w:rsidR="003D3187" w:rsidRDefault="00000000">
      <w:pPr>
        <w:numPr>
          <w:ilvl w:val="1"/>
          <w:numId w:val="9"/>
        </w:numPr>
        <w:ind w:right="450" w:hanging="570"/>
      </w:pPr>
      <w:r>
        <w:t xml:space="preserve">The council has £21.5m of 2026/27 savings (planned and already approved) and £10.5m of 2025/26 delayed savings to be delivered in 2029/30. By delivering on the relatively straight forward savings proposals, the council should achieve a balanced budget without EFS.  By not using reserves to balance the budget or EFS, the council gives itself the space to deliver on the more challenging longer term transformational activities that will be necessary for future sustainability. </w:t>
      </w:r>
    </w:p>
    <w:p w14:paraId="2B7FDA05" w14:textId="77777777" w:rsidR="003D3187" w:rsidRDefault="00000000">
      <w:pPr>
        <w:numPr>
          <w:ilvl w:val="1"/>
          <w:numId w:val="9"/>
        </w:numPr>
        <w:ind w:right="450" w:hanging="570"/>
      </w:pPr>
      <w:r>
        <w:t xml:space="preserve">Due to the complexity of budgeting practices, emerging underspends have been offsetting undeliverable savings.  In 2026/27, releasing these underspends and simplifying budgets makes it easier for budget holders to manage their budgets. </w:t>
      </w:r>
    </w:p>
    <w:p w14:paraId="62DBB181" w14:textId="77777777" w:rsidR="003D3187" w:rsidRDefault="00000000">
      <w:pPr>
        <w:numPr>
          <w:ilvl w:val="1"/>
          <w:numId w:val="9"/>
        </w:numPr>
        <w:ind w:right="450" w:hanging="570"/>
      </w:pPr>
      <w:r>
        <w:t xml:space="preserve">Overall, all the new 2026/27 budget savings proposals are considered to be efficiency measures in nature or recognition of underspends, not policy changes.  Details can be found in Appendix 1.  Before the new calendar year, the council is prioritising the development of service delivery plans that can be formally actioned from the moment the Budget is approved at full Council in February. </w:t>
      </w:r>
    </w:p>
    <w:p w14:paraId="21358AD7" w14:textId="77777777" w:rsidR="003D3187" w:rsidRDefault="00000000">
      <w:pPr>
        <w:numPr>
          <w:ilvl w:val="1"/>
          <w:numId w:val="9"/>
        </w:numPr>
        <w:ind w:right="450" w:hanging="570"/>
      </w:pPr>
      <w:r>
        <w:t xml:space="preserve">Except where fee and charge growth was consulted on in prior years, fees and charges have largely been kept at CPI or on a service cost recovery basis. Garden Waste charges, Bulky Waste fees and Cemeteries and Crematoria fees have been frozen pending the results of the December Local Government Financial Settlement. Fee changes outside this range mainly relate to rounding. Details are to be found in Appendix 6.  As such additional fee growth in 2026/27 is not anticipated to be significant. </w:t>
      </w:r>
    </w:p>
    <w:p w14:paraId="1E1C1FF1" w14:textId="77777777" w:rsidR="003D3187" w:rsidRDefault="00000000">
      <w:pPr>
        <w:spacing w:after="0" w:line="259" w:lineRule="auto"/>
        <w:ind w:left="981" w:firstLine="0"/>
      </w:pPr>
      <w:r>
        <w:t xml:space="preserve"> </w:t>
      </w:r>
      <w:r>
        <w:tab/>
        <w:t xml:space="preserve"> </w:t>
      </w:r>
    </w:p>
    <w:p w14:paraId="38021F1E" w14:textId="77777777" w:rsidR="003D3187" w:rsidRDefault="00000000">
      <w:pPr>
        <w:spacing w:after="2" w:line="259" w:lineRule="auto"/>
        <w:ind w:left="976" w:hanging="10"/>
      </w:pPr>
      <w:r>
        <w:rPr>
          <w:u w:val="single" w:color="000000"/>
        </w:rPr>
        <w:t>Transformation &amp; Investment</w:t>
      </w:r>
      <w:r>
        <w:t xml:space="preserve"> </w:t>
      </w:r>
    </w:p>
    <w:p w14:paraId="44708F13" w14:textId="77777777" w:rsidR="003D3187" w:rsidRDefault="00000000">
      <w:pPr>
        <w:spacing w:after="0" w:line="259" w:lineRule="auto"/>
        <w:ind w:left="981" w:firstLine="0"/>
      </w:pPr>
      <w:r>
        <w:t xml:space="preserve"> </w:t>
      </w:r>
    </w:p>
    <w:p w14:paraId="2D2DA931" w14:textId="77777777" w:rsidR="003D3187" w:rsidRDefault="00000000">
      <w:pPr>
        <w:numPr>
          <w:ilvl w:val="1"/>
          <w:numId w:val="9"/>
        </w:numPr>
        <w:ind w:right="450" w:hanging="570"/>
      </w:pPr>
      <w:r>
        <w:t xml:space="preserve">The council has been gradually moving into the space of transformation.  It has so far been targeting the low hanging fruits of transformation: </w:t>
      </w:r>
    </w:p>
    <w:p w14:paraId="4BC075BF" w14:textId="77777777" w:rsidR="003D3187" w:rsidRDefault="00000000">
      <w:pPr>
        <w:numPr>
          <w:ilvl w:val="0"/>
          <w:numId w:val="6"/>
        </w:numPr>
        <w:ind w:right="450" w:hanging="567"/>
      </w:pPr>
      <w:r>
        <w:t xml:space="preserve">Centralisation of support services and gradual rationalisation of operational activities into central hubs allow for economies of scale and greater professionalism of service delivery. In the long run, combined with more effective use of technology this will generate even more savings. </w:t>
      </w:r>
    </w:p>
    <w:p w14:paraId="3171FC06" w14:textId="77777777" w:rsidR="003D3187" w:rsidRDefault="00000000">
      <w:pPr>
        <w:numPr>
          <w:ilvl w:val="0"/>
          <w:numId w:val="6"/>
        </w:numPr>
        <w:ind w:right="450" w:hanging="567"/>
      </w:pPr>
      <w:r>
        <w:t xml:space="preserve">Property rationalisation, where the council is gradually selling assets for which it has no more need is generating cash that can either be invested or be used to pay down debt.  This in turn reduces the savings requirement upon the council. </w:t>
      </w:r>
    </w:p>
    <w:p w14:paraId="7CDE51A3" w14:textId="77777777" w:rsidR="003D3187" w:rsidRDefault="00000000">
      <w:pPr>
        <w:numPr>
          <w:ilvl w:val="0"/>
          <w:numId w:val="6"/>
        </w:numPr>
        <w:ind w:right="450" w:hanging="567"/>
      </w:pPr>
      <w:r>
        <w:t xml:space="preserve">Reducing high-cost placements, over provision and prevention in Social Care.  By reviewing provision and ensuring that the council is not overproviding, the council has been able to produce savings.  Children Social Care have been particularly successful at preventing children going into care and moving children into better quality but lower cost placements. </w:t>
      </w:r>
    </w:p>
    <w:p w14:paraId="77EEC3C9" w14:textId="77777777" w:rsidR="003D3187" w:rsidRDefault="00000000">
      <w:pPr>
        <w:numPr>
          <w:ilvl w:val="0"/>
          <w:numId w:val="6"/>
        </w:numPr>
        <w:ind w:right="450" w:hanging="567"/>
      </w:pPr>
      <w:r>
        <w:t xml:space="preserve">Maximising income generation opportunities without changing the underlying business model.  Much of the savings for the 2025/26 budget were delivered in this fashion after CERS overperformed its income targets in 2024/25. </w:t>
      </w:r>
    </w:p>
    <w:p w14:paraId="1DD9F3AD" w14:textId="77777777" w:rsidR="003D3187" w:rsidRDefault="00000000">
      <w:pPr>
        <w:numPr>
          <w:ilvl w:val="1"/>
          <w:numId w:val="7"/>
        </w:numPr>
        <w:ind w:right="450" w:hanging="570"/>
      </w:pPr>
      <w:r>
        <w:t xml:space="preserve">However, second order change/transformation requires a shift in approach and operating models and the development of new skills.  Achieving best value for local residents and optimisation of outcomes requires new ways of working and new skills.  The Finance Service is in the process of strengthening business partnering to support service redesign and internally invest in developing modelling skills.  Benchmarking of performance and identification of suboptimal delivery capability will lead to better informed decisions on transformational change.  Financial sustainability comes out of transforming the service, getting the basics right first time every time.  </w:t>
      </w:r>
    </w:p>
    <w:p w14:paraId="4D65FEDA" w14:textId="77777777" w:rsidR="003D3187" w:rsidRDefault="00000000">
      <w:pPr>
        <w:numPr>
          <w:ilvl w:val="1"/>
          <w:numId w:val="7"/>
        </w:numPr>
        <w:ind w:right="450" w:hanging="570"/>
      </w:pPr>
      <w:r>
        <w:t xml:space="preserve">There are a few key enabling strands of activity that will drive the generation of savings opportunities for 2027/28, when LGR takes full flight: </w:t>
      </w:r>
    </w:p>
    <w:p w14:paraId="5CEEC437" w14:textId="77777777" w:rsidR="003D3187" w:rsidRDefault="00000000">
      <w:pPr>
        <w:spacing w:after="0" w:line="259" w:lineRule="auto"/>
        <w:ind w:left="981" w:firstLine="0"/>
      </w:pPr>
      <w:r>
        <w:t xml:space="preserve"> </w:t>
      </w:r>
    </w:p>
    <w:p w14:paraId="4EEA55B6" w14:textId="77777777" w:rsidR="003D3187" w:rsidRDefault="00000000">
      <w:pPr>
        <w:numPr>
          <w:ilvl w:val="0"/>
          <w:numId w:val="6"/>
        </w:numPr>
        <w:ind w:right="450" w:hanging="567"/>
      </w:pPr>
      <w:r>
        <w:rPr>
          <w:b/>
        </w:rPr>
        <w:t>Corporate Property Estate</w:t>
      </w:r>
      <w:r>
        <w:t xml:space="preserve"> goes beyond the current improvements in the management of the Property Estate.  It is about maximising the full benefits of the estate. This starts with a full review of the entire corporate property estate and maps it against the organisational requirements, before incorporating a cost/benefit review of retaining the assets, any strategic benefit that individual assets may hold and considers the current approach to facilities management. </w:t>
      </w:r>
    </w:p>
    <w:p w14:paraId="0EE6F7E5" w14:textId="77777777" w:rsidR="003D3187" w:rsidRDefault="00000000">
      <w:pPr>
        <w:ind w:left="2115" w:right="450" w:firstLine="0"/>
      </w:pPr>
      <w:r>
        <w:t xml:space="preserve">Moreover, it requires investment upfront in project management and financial modelling as well as resulting/future capital investment.  The asset management plan will be brought alongside the budget to full Council in February with a profiled capital project plan. The primary benefit to the council beyond more attractive workplaces and lower capital liabilities is likely to be the cash investment returns/debt reduction savings. </w:t>
      </w:r>
    </w:p>
    <w:p w14:paraId="4DC0B853" w14:textId="77777777" w:rsidR="003D3187" w:rsidRDefault="00000000">
      <w:pPr>
        <w:numPr>
          <w:ilvl w:val="0"/>
          <w:numId w:val="6"/>
        </w:numPr>
        <w:ind w:right="450" w:hanging="567"/>
      </w:pPr>
      <w:r>
        <w:rPr>
          <w:b/>
        </w:rPr>
        <w:t>Digitisation/AI</w:t>
      </w:r>
      <w:r>
        <w:t xml:space="preserve"> is an enabler, from automating processes to rationalising systems.  The council’s Digital Strategy, which articulates the case for a consistent digital by design framework, will help identify opportunities across the organisation.  This will require investment and project management to deliver a leaner more responsive operational model.  One major caveat is that some savings generated will be needed to meet existing workforce savings targets. Improved systems integration will also be pivotal to both the visibility and the integration of performance data. </w:t>
      </w:r>
    </w:p>
    <w:p w14:paraId="756C2177" w14:textId="77777777" w:rsidR="003D3187" w:rsidRDefault="00000000">
      <w:pPr>
        <w:numPr>
          <w:ilvl w:val="0"/>
          <w:numId w:val="6"/>
        </w:numPr>
        <w:ind w:right="450" w:hanging="567"/>
      </w:pPr>
      <w:r>
        <w:rPr>
          <w:b/>
        </w:rPr>
        <w:t>Commercialisation</w:t>
      </w:r>
      <w:r>
        <w:t xml:space="preserve">. Parts of the council have already moved from income maximisation into commercialisation but the next stage involves the requirement for greater investment.  This also requires the council to take a more strategic view of its companies and the activities it undertakes. </w:t>
      </w:r>
    </w:p>
    <w:p w14:paraId="504CBFDA" w14:textId="77777777" w:rsidR="003D3187" w:rsidRDefault="00000000">
      <w:pPr>
        <w:numPr>
          <w:ilvl w:val="0"/>
          <w:numId w:val="6"/>
        </w:numPr>
        <w:ind w:right="450" w:hanging="567"/>
      </w:pPr>
      <w:r>
        <w:rPr>
          <w:b/>
        </w:rPr>
        <w:t>Commissioning and Procurement</w:t>
      </w:r>
      <w:r>
        <w:t xml:space="preserve">.  Procurement-wise it is less about efficiencies and more about aligning procurement across the council to achieve economies of scale and having far earlier conversation about contract specifications, so the council does not rollover existing contracts or over specifying new ones.  Moreover, by starting the conversations upstream of the original timeline, one gets into the realm of commissioning – what is the purpose behind the service and what is trying to achieve.  Are there more effective ways to achieve the same outcome? </w:t>
      </w:r>
    </w:p>
    <w:p w14:paraId="2B68DE25" w14:textId="77777777" w:rsidR="003D3187" w:rsidRDefault="00000000">
      <w:pPr>
        <w:numPr>
          <w:ilvl w:val="0"/>
          <w:numId w:val="6"/>
        </w:numPr>
        <w:ind w:right="450" w:hanging="567"/>
      </w:pPr>
      <w:r>
        <w:rPr>
          <w:b/>
        </w:rPr>
        <w:t>Social Care Transformation</w:t>
      </w:r>
      <w:r>
        <w:t xml:space="preserve">. Both directorates are developing new Targeting Operating Models (TOMs) to ensure that they are set up for success.  The implementation of the new Adults Operating Model will improve pathways and outcomes for citizens with a greater focus on prevention and neighbourhood model delivery. Children’s continued delivery of improvement will deliver better outcomes for children in line with our Improvement and Transformation plan and in turn reduce high cost spend. Prevention and getting it right first time is not only better value but it saves money in the long run that can be reinvested in the quality of services. </w:t>
      </w:r>
    </w:p>
    <w:p w14:paraId="711F0402" w14:textId="77777777" w:rsidR="003D3187" w:rsidRDefault="00000000">
      <w:pPr>
        <w:numPr>
          <w:ilvl w:val="0"/>
          <w:numId w:val="6"/>
        </w:numPr>
        <w:ind w:right="450" w:hanging="567"/>
      </w:pPr>
      <w:r>
        <w:rPr>
          <w:b/>
        </w:rPr>
        <w:t>Data Analytics</w:t>
      </w:r>
      <w:r>
        <w:t xml:space="preserve">.  An enabling activity rather than a savings one per se. This is about getting better at using internal finance and performance data both for unit costing and benchmarking outcomes.  What is the extra value generated by an extra pound of spend?  While Public Health are already successful at benchmarking, the investment in Performance should support us make better use of existing data sources to transform service provision. </w:t>
      </w:r>
    </w:p>
    <w:p w14:paraId="4DE9C75F" w14:textId="77777777" w:rsidR="003D3187" w:rsidRDefault="00000000">
      <w:pPr>
        <w:numPr>
          <w:ilvl w:val="1"/>
          <w:numId w:val="8"/>
        </w:numPr>
        <w:ind w:right="450" w:hanging="570"/>
      </w:pPr>
      <w:r>
        <w:t xml:space="preserve">One major caveat to these larger activity drivers is that the one of the biggest improvements that the organisation can make is in the management of staff and their empowerment to make local improvements, especially to workflows.  Some of the biggest improvements will be about streamlining process workflows and undertaking value added analysis to identify what is necessary and what is not, freeing up officer time for more value-added work. </w:t>
      </w:r>
    </w:p>
    <w:p w14:paraId="1C927117" w14:textId="77777777" w:rsidR="003D3187" w:rsidRDefault="00000000">
      <w:pPr>
        <w:numPr>
          <w:ilvl w:val="1"/>
          <w:numId w:val="8"/>
        </w:numPr>
        <w:ind w:right="450" w:hanging="570"/>
      </w:pPr>
      <w:r>
        <w:t xml:space="preserve">Many of these activities require upfront investment to be successful and this means part of this journey is having a wider consideration about the resources that are available to utilise to improve public services.  There will need be a greater focus on complex financial modelling of scenarios and options </w:t>
      </w:r>
    </w:p>
    <w:p w14:paraId="39093036" w14:textId="77777777" w:rsidR="003D3187" w:rsidRDefault="00000000">
      <w:pPr>
        <w:ind w:left="1344" w:right="450" w:firstLine="0"/>
      </w:pPr>
      <w:r>
        <w:t xml:space="preserve">appraisals. It also means that the Capital Programme needs to be viewed as enablers or outputs from the prioritisation of outcomes driven by the Corporate Plan and the MTFP. </w:t>
      </w:r>
    </w:p>
    <w:p w14:paraId="308B4B94" w14:textId="77777777" w:rsidR="003D3187" w:rsidRDefault="00000000">
      <w:pPr>
        <w:numPr>
          <w:ilvl w:val="1"/>
          <w:numId w:val="8"/>
        </w:numPr>
        <w:ind w:right="450" w:hanging="570"/>
      </w:pPr>
      <w:r>
        <w:t xml:space="preserve">It is important to focus on the difference between spending and investment, as the former consumes resources with little to no future return, while investing uses resources to create future value or ongoing income streams. Spending satisfies immediate service consumption (typically recurring revenue spend), while investing generates new assets or skills with the expectation that they will generate growth, community wealth or investment returns or cost base reduction that will sustain Nottingham City Council services.   </w:t>
      </w:r>
    </w:p>
    <w:p w14:paraId="6ADF3CF0" w14:textId="77777777" w:rsidR="003D3187" w:rsidRDefault="00000000">
      <w:pPr>
        <w:spacing w:after="2" w:line="259" w:lineRule="auto"/>
        <w:ind w:left="976" w:hanging="10"/>
      </w:pPr>
      <w:r>
        <w:rPr>
          <w:u w:val="single" w:color="000000"/>
        </w:rPr>
        <w:t>Balance Sheet Management</w:t>
      </w:r>
      <w:r>
        <w:t xml:space="preserve"> </w:t>
      </w:r>
    </w:p>
    <w:p w14:paraId="1131AAAB" w14:textId="77777777" w:rsidR="003D3187" w:rsidRDefault="00000000">
      <w:pPr>
        <w:spacing w:after="0" w:line="259" w:lineRule="auto"/>
        <w:ind w:left="981" w:firstLine="0"/>
      </w:pPr>
      <w:r>
        <w:t xml:space="preserve"> </w:t>
      </w:r>
    </w:p>
    <w:p w14:paraId="396D0FC1" w14:textId="77777777" w:rsidR="003D3187" w:rsidRDefault="00000000">
      <w:pPr>
        <w:numPr>
          <w:ilvl w:val="1"/>
          <w:numId w:val="8"/>
        </w:numPr>
        <w:ind w:right="450" w:hanging="570"/>
      </w:pPr>
      <w:r>
        <w:t xml:space="preserve">An organisation’s assets are held on its balance sheet and maximising value of these is important for the overall health of the organisation. The strategy includes: </w:t>
      </w:r>
    </w:p>
    <w:p w14:paraId="28022A58" w14:textId="77777777" w:rsidR="003D3187" w:rsidRDefault="00000000">
      <w:pPr>
        <w:numPr>
          <w:ilvl w:val="0"/>
          <w:numId w:val="6"/>
        </w:numPr>
        <w:ind w:right="450" w:hanging="567"/>
      </w:pPr>
      <w:r>
        <w:t xml:space="preserve">Reducing legacy debt levels effectively.  The council has a Voluntary Debt Reduction Policy and has paid down its most expensive debt and interest rates, leading to significant revenue savings. </w:t>
      </w:r>
    </w:p>
    <w:p w14:paraId="761F3387" w14:textId="77777777" w:rsidR="003D3187" w:rsidRDefault="00000000">
      <w:pPr>
        <w:numPr>
          <w:ilvl w:val="0"/>
          <w:numId w:val="6"/>
        </w:numPr>
        <w:ind w:right="450" w:hanging="567"/>
      </w:pPr>
      <w:r>
        <w:t xml:space="preserve">Incorporating a holistic view of assets linking back to Corporate Landlord, maximising their use. </w:t>
      </w:r>
    </w:p>
    <w:p w14:paraId="2608BFC6" w14:textId="77777777" w:rsidR="003D3187" w:rsidRDefault="00000000">
      <w:pPr>
        <w:numPr>
          <w:ilvl w:val="0"/>
          <w:numId w:val="6"/>
        </w:numPr>
        <w:ind w:right="450" w:hanging="567"/>
      </w:pPr>
      <w:r>
        <w:t xml:space="preserve">Improving working capital.  Improving debt collection rates, freeing up resources tied up in Bad Debt Provisions. In local government, this also means ensuring the council paying its local creditors quickly. </w:t>
      </w:r>
    </w:p>
    <w:p w14:paraId="38B1E0FA" w14:textId="77777777" w:rsidR="003D3187" w:rsidRDefault="00000000">
      <w:pPr>
        <w:numPr>
          <w:ilvl w:val="0"/>
          <w:numId w:val="6"/>
        </w:numPr>
        <w:ind w:right="450" w:hanging="567"/>
      </w:pPr>
      <w:r>
        <w:t xml:space="preserve">Making targeted investments through using existing balance sheet resources (Capital Receipts, Grant monies and the like). </w:t>
      </w:r>
    </w:p>
    <w:p w14:paraId="1B10ACB1" w14:textId="77777777" w:rsidR="003D3187" w:rsidRDefault="00000000">
      <w:pPr>
        <w:numPr>
          <w:ilvl w:val="0"/>
          <w:numId w:val="6"/>
        </w:numPr>
        <w:ind w:right="450" w:hanging="567"/>
      </w:pPr>
      <w:r>
        <w:t xml:space="preserve">In collaboration with the City’s External Auditor work towards the Final Statutory Accounts acquiring unqualified status.  This will strengthen the assurance across partners, customers, suppliers and Central Government and will also assist with access to new opportunities for large scale city investment opportunities. </w:t>
      </w:r>
    </w:p>
    <w:p w14:paraId="69BDBBEB" w14:textId="77777777" w:rsidR="003D3187" w:rsidRDefault="00000000">
      <w:pPr>
        <w:numPr>
          <w:ilvl w:val="0"/>
          <w:numId w:val="6"/>
        </w:numPr>
        <w:ind w:right="450" w:hanging="567"/>
      </w:pPr>
      <w:r>
        <w:t xml:space="preserve">Understanding the assets and liabilities in a much detailed and holistic manner allowing it to project the position forward, so that the implications of possible decisions are fully understood by all stakeholders in terms of the council’s underlying financial position. </w:t>
      </w:r>
    </w:p>
    <w:p w14:paraId="2EDF1A5D" w14:textId="77777777" w:rsidR="003D3187" w:rsidRDefault="00000000">
      <w:pPr>
        <w:ind w:left="1336" w:right="450"/>
      </w:pPr>
      <w:r>
        <w:t xml:space="preserve">6.24 By making all of these improvements, Nottingham would be able to take the full benefit of Local Government Reorganisation, which should expand the City Boundaries closer to the economic footprint of the city. While borrowing is something that the City might consider in the future, particularly in relation to the Housing Revenue Account, currently, the priority is to de-leverage the balance sheet. </w:t>
      </w:r>
    </w:p>
    <w:p w14:paraId="40031C28" w14:textId="77777777" w:rsidR="003D3187" w:rsidRDefault="00000000">
      <w:pPr>
        <w:spacing w:after="0" w:line="259" w:lineRule="auto"/>
        <w:ind w:left="981" w:firstLine="0"/>
      </w:pPr>
      <w:r>
        <w:rPr>
          <w:b/>
        </w:rPr>
        <w:t xml:space="preserve"> </w:t>
      </w:r>
      <w:r>
        <w:rPr>
          <w:b/>
        </w:rPr>
        <w:tab/>
        <w:t xml:space="preserve"> </w:t>
      </w:r>
    </w:p>
    <w:p w14:paraId="525BF11D" w14:textId="77777777" w:rsidR="003D3187" w:rsidRDefault="00000000">
      <w:pPr>
        <w:pStyle w:val="Heading1"/>
        <w:ind w:left="976" w:right="533"/>
      </w:pPr>
      <w:r>
        <w:t xml:space="preserve">Debt Reduction </w:t>
      </w:r>
    </w:p>
    <w:p w14:paraId="2C3DC36C" w14:textId="77777777" w:rsidR="003D3187" w:rsidRDefault="00000000">
      <w:pPr>
        <w:spacing w:after="0" w:line="259" w:lineRule="auto"/>
        <w:ind w:left="981" w:firstLine="0"/>
      </w:pPr>
      <w:r>
        <w:rPr>
          <w:b/>
        </w:rPr>
        <w:t xml:space="preserve"> </w:t>
      </w:r>
    </w:p>
    <w:p w14:paraId="587ED090" w14:textId="77777777" w:rsidR="003D3187" w:rsidRDefault="00000000">
      <w:pPr>
        <w:ind w:left="1336" w:right="450"/>
      </w:pPr>
      <w:r>
        <w:t>6.25</w:t>
      </w:r>
      <w:r>
        <w:rPr>
          <w:rFonts w:ascii="Calibri" w:eastAsia="Calibri" w:hAnsi="Calibri" w:cs="Calibri"/>
          <w:sz w:val="22"/>
        </w:rPr>
        <w:t xml:space="preserve"> </w:t>
      </w:r>
      <w:r>
        <w:t>Already the council has committed to de-leveraging its balance, Nottingham has reduced its debt level by £440m between March 31st 2020 and August 31st 2025.  The council continues to review the opportunity to reduce its debt levels, therefore the current position is likely to be lower than at present. Indeed, it repaid £89m of its debt in August.</w:t>
      </w:r>
      <w:r>
        <w:rPr>
          <w:rFonts w:ascii="Calibri" w:eastAsia="Calibri" w:hAnsi="Calibri" w:cs="Calibri"/>
          <w:sz w:val="22"/>
        </w:rPr>
        <w:t xml:space="preserve"> </w:t>
      </w:r>
    </w:p>
    <w:p w14:paraId="14140559" w14:textId="77777777" w:rsidR="003D3187" w:rsidRDefault="00000000">
      <w:pPr>
        <w:spacing w:after="0" w:line="259" w:lineRule="auto"/>
        <w:ind w:left="981" w:firstLine="0"/>
      </w:pPr>
      <w:r>
        <w:rPr>
          <w:b/>
        </w:rPr>
        <w:t xml:space="preserve"> </w:t>
      </w:r>
    </w:p>
    <w:p w14:paraId="5F1DE36C" w14:textId="77777777" w:rsidR="003D3187" w:rsidRDefault="00000000">
      <w:pPr>
        <w:pStyle w:val="Heading1"/>
        <w:ind w:left="976" w:right="533"/>
      </w:pPr>
      <w:r>
        <w:t>Table 7: Reduction in Debt (£m) since March 31</w:t>
      </w:r>
      <w:r>
        <w:rPr>
          <w:vertAlign w:val="superscript"/>
        </w:rPr>
        <w:t>st</w:t>
      </w:r>
      <w:r>
        <w:t xml:space="preserve"> 2020 </w:t>
      </w:r>
    </w:p>
    <w:p w14:paraId="18AA9A00" w14:textId="77777777" w:rsidR="003D3187" w:rsidRDefault="00000000">
      <w:pPr>
        <w:spacing w:after="0" w:line="259" w:lineRule="auto"/>
        <w:ind w:left="981" w:firstLine="0"/>
      </w:pPr>
      <w:r>
        <w:rPr>
          <w:b/>
        </w:rPr>
        <w:t xml:space="preserve"> </w:t>
      </w:r>
    </w:p>
    <w:p w14:paraId="63E2BDD3" w14:textId="77777777" w:rsidR="003D3187" w:rsidRDefault="00000000">
      <w:pPr>
        <w:spacing w:after="63" w:line="259" w:lineRule="auto"/>
        <w:ind w:left="973" w:firstLine="0"/>
      </w:pPr>
      <w:r>
        <w:rPr>
          <w:noProof/>
        </w:rPr>
        <w:drawing>
          <wp:inline distT="0" distB="0" distL="0" distR="0" wp14:anchorId="097B134F" wp14:editId="51A08242">
            <wp:extent cx="3907536" cy="3691128"/>
            <wp:effectExtent l="0" t="0" r="0" b="0"/>
            <wp:docPr id="63124" name="Picture 63124"/>
            <wp:cNvGraphicFramePr/>
            <a:graphic xmlns:a="http://schemas.openxmlformats.org/drawingml/2006/main">
              <a:graphicData uri="http://schemas.openxmlformats.org/drawingml/2006/picture">
                <pic:pic xmlns:pic="http://schemas.openxmlformats.org/drawingml/2006/picture">
                  <pic:nvPicPr>
                    <pic:cNvPr id="63124" name="Picture 63124"/>
                    <pic:cNvPicPr/>
                  </pic:nvPicPr>
                  <pic:blipFill>
                    <a:blip r:embed="rId8"/>
                    <a:stretch>
                      <a:fillRect/>
                    </a:stretch>
                  </pic:blipFill>
                  <pic:spPr>
                    <a:xfrm>
                      <a:off x="0" y="0"/>
                      <a:ext cx="3907536" cy="3691128"/>
                    </a:xfrm>
                    <a:prstGeom prst="rect">
                      <a:avLst/>
                    </a:prstGeom>
                  </pic:spPr>
                </pic:pic>
              </a:graphicData>
            </a:graphic>
          </wp:inline>
        </w:drawing>
      </w:r>
    </w:p>
    <w:p w14:paraId="0C9940F7" w14:textId="77777777" w:rsidR="003D3187" w:rsidRDefault="00000000">
      <w:pPr>
        <w:spacing w:after="0" w:line="259" w:lineRule="auto"/>
        <w:ind w:left="981" w:firstLine="0"/>
      </w:pPr>
      <w:r>
        <w:rPr>
          <w:b/>
        </w:rPr>
        <w:t xml:space="preserve"> </w:t>
      </w:r>
    </w:p>
    <w:p w14:paraId="6E5DFA20" w14:textId="77777777" w:rsidR="003D3187" w:rsidRDefault="00000000">
      <w:pPr>
        <w:spacing w:after="0" w:line="259" w:lineRule="auto"/>
        <w:ind w:left="981" w:firstLine="0"/>
      </w:pPr>
      <w:r>
        <w:rPr>
          <w:b/>
        </w:rPr>
        <w:t xml:space="preserve"> </w:t>
      </w:r>
    </w:p>
    <w:p w14:paraId="265198E2" w14:textId="77777777" w:rsidR="003D3187" w:rsidRDefault="00000000">
      <w:pPr>
        <w:pStyle w:val="Heading1"/>
        <w:ind w:left="976" w:right="533"/>
      </w:pPr>
      <w:r>
        <w:t xml:space="preserve">Table 8: Provisional Impact of Funding, Savings &amp; Growth on the MTFP </w:t>
      </w:r>
    </w:p>
    <w:p w14:paraId="2362E84D" w14:textId="77777777" w:rsidR="003D3187" w:rsidRDefault="00000000">
      <w:pPr>
        <w:spacing w:after="0" w:line="259" w:lineRule="auto"/>
        <w:ind w:left="981" w:firstLine="0"/>
      </w:pPr>
      <w:r>
        <w:rPr>
          <w:b/>
        </w:rPr>
        <w:t xml:space="preserve"> </w:t>
      </w:r>
    </w:p>
    <w:tbl>
      <w:tblPr>
        <w:tblStyle w:val="TableGrid"/>
        <w:tblW w:w="8658" w:type="dxa"/>
        <w:tblInd w:w="987" w:type="dxa"/>
        <w:tblCellMar>
          <w:top w:w="35" w:type="dxa"/>
          <w:left w:w="107" w:type="dxa"/>
          <w:bottom w:w="0" w:type="dxa"/>
          <w:right w:w="51" w:type="dxa"/>
        </w:tblCellMar>
        <w:tblLook w:val="04A0" w:firstRow="1" w:lastRow="0" w:firstColumn="1" w:lastColumn="0" w:noHBand="0" w:noVBand="1"/>
      </w:tblPr>
      <w:tblGrid>
        <w:gridCol w:w="2971"/>
        <w:gridCol w:w="1097"/>
        <w:gridCol w:w="1099"/>
        <w:gridCol w:w="1098"/>
        <w:gridCol w:w="1099"/>
        <w:gridCol w:w="1294"/>
      </w:tblGrid>
      <w:tr w:rsidR="003D3187" w14:paraId="1BBE225A" w14:textId="77777777">
        <w:trPr>
          <w:trHeight w:val="799"/>
        </w:trPr>
        <w:tc>
          <w:tcPr>
            <w:tcW w:w="2972"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24768F6A" w14:textId="77777777" w:rsidR="003D3187" w:rsidRDefault="00000000">
            <w:pPr>
              <w:spacing w:after="0" w:line="259" w:lineRule="auto"/>
              <w:ind w:left="0" w:firstLine="0"/>
            </w:pPr>
            <w:r>
              <w:rPr>
                <w:b/>
                <w:sz w:val="20"/>
              </w:rPr>
              <w:t xml:space="preserve">Directorate </w:t>
            </w:r>
          </w:p>
        </w:tc>
        <w:tc>
          <w:tcPr>
            <w:tcW w:w="1097"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7368AD3F" w14:textId="77777777" w:rsidR="003D3187" w:rsidRDefault="00000000">
            <w:pPr>
              <w:spacing w:after="0" w:line="259" w:lineRule="auto"/>
              <w:ind w:left="0" w:right="57" w:firstLine="0"/>
              <w:jc w:val="right"/>
            </w:pPr>
            <w:r>
              <w:rPr>
                <w:b/>
                <w:sz w:val="20"/>
              </w:rPr>
              <w:t xml:space="preserve">2026/27 £m </w:t>
            </w:r>
          </w:p>
        </w:tc>
        <w:tc>
          <w:tcPr>
            <w:tcW w:w="1099"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11CB3EA1" w14:textId="77777777" w:rsidR="003D3187" w:rsidRDefault="00000000">
            <w:pPr>
              <w:spacing w:after="0" w:line="259" w:lineRule="auto"/>
              <w:ind w:left="0" w:right="57" w:firstLine="0"/>
              <w:jc w:val="right"/>
            </w:pPr>
            <w:r>
              <w:rPr>
                <w:b/>
                <w:sz w:val="20"/>
              </w:rPr>
              <w:t xml:space="preserve">2027/28 £m </w:t>
            </w:r>
          </w:p>
        </w:tc>
        <w:tc>
          <w:tcPr>
            <w:tcW w:w="1098"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3D2E59F7" w14:textId="77777777" w:rsidR="003D3187" w:rsidRDefault="00000000">
            <w:pPr>
              <w:spacing w:after="0" w:line="259" w:lineRule="auto"/>
              <w:ind w:left="0" w:right="57" w:firstLine="0"/>
              <w:jc w:val="right"/>
            </w:pPr>
            <w:r>
              <w:rPr>
                <w:b/>
                <w:sz w:val="20"/>
              </w:rPr>
              <w:t xml:space="preserve">2028/29 £m </w:t>
            </w:r>
          </w:p>
        </w:tc>
        <w:tc>
          <w:tcPr>
            <w:tcW w:w="1099"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363E2A67" w14:textId="77777777" w:rsidR="003D3187" w:rsidRDefault="00000000">
            <w:pPr>
              <w:spacing w:after="0" w:line="259" w:lineRule="auto"/>
              <w:ind w:left="0" w:right="57" w:firstLine="0"/>
              <w:jc w:val="right"/>
            </w:pPr>
            <w:r>
              <w:rPr>
                <w:b/>
                <w:sz w:val="20"/>
              </w:rPr>
              <w:t xml:space="preserve">2029/30 £m </w:t>
            </w:r>
          </w:p>
        </w:tc>
        <w:tc>
          <w:tcPr>
            <w:tcW w:w="1294" w:type="dxa"/>
            <w:tcBorders>
              <w:top w:val="single" w:sz="4" w:space="0" w:color="000000"/>
              <w:left w:val="single" w:sz="4" w:space="0" w:color="000000"/>
              <w:bottom w:val="single" w:sz="4" w:space="0" w:color="000000"/>
              <w:right w:val="single" w:sz="4" w:space="0" w:color="000000"/>
            </w:tcBorders>
            <w:shd w:val="clear" w:color="auto" w:fill="B5E6A2"/>
          </w:tcPr>
          <w:p w14:paraId="09ED8AD0" w14:textId="77777777" w:rsidR="003D3187" w:rsidRDefault="00000000">
            <w:pPr>
              <w:spacing w:after="0" w:line="259" w:lineRule="auto"/>
              <w:ind w:left="2" w:firstLine="0"/>
            </w:pPr>
            <w:r>
              <w:rPr>
                <w:b/>
                <w:sz w:val="20"/>
              </w:rPr>
              <w:t xml:space="preserve">Cumulative </w:t>
            </w:r>
          </w:p>
          <w:p w14:paraId="78F2F56C" w14:textId="77777777" w:rsidR="003D3187" w:rsidRDefault="00000000">
            <w:pPr>
              <w:spacing w:after="0" w:line="259" w:lineRule="auto"/>
              <w:ind w:left="792" w:hanging="356"/>
            </w:pPr>
            <w:r>
              <w:rPr>
                <w:b/>
                <w:sz w:val="20"/>
              </w:rPr>
              <w:t xml:space="preserve">Impact £m </w:t>
            </w:r>
          </w:p>
        </w:tc>
      </w:tr>
      <w:tr w:rsidR="003D3187" w14:paraId="608C05A9" w14:textId="77777777">
        <w:trPr>
          <w:trHeight w:val="294"/>
        </w:trPr>
        <w:tc>
          <w:tcPr>
            <w:tcW w:w="2972" w:type="dxa"/>
            <w:tcBorders>
              <w:top w:val="single" w:sz="4" w:space="0" w:color="000000"/>
              <w:left w:val="single" w:sz="4" w:space="0" w:color="000000"/>
              <w:bottom w:val="nil"/>
              <w:right w:val="single" w:sz="4" w:space="0" w:color="000000"/>
            </w:tcBorders>
            <w:shd w:val="clear" w:color="auto" w:fill="FFFFFF"/>
          </w:tcPr>
          <w:p w14:paraId="6838A2BF" w14:textId="77777777" w:rsidR="003D3187" w:rsidRDefault="00000000">
            <w:pPr>
              <w:spacing w:after="0" w:line="259" w:lineRule="auto"/>
              <w:ind w:left="0" w:firstLine="0"/>
            </w:pPr>
            <w:r>
              <w:rPr>
                <w:sz w:val="20"/>
              </w:rPr>
              <w:t xml:space="preserve">Adult Social Care &amp; Health </w:t>
            </w:r>
          </w:p>
        </w:tc>
        <w:tc>
          <w:tcPr>
            <w:tcW w:w="1097" w:type="dxa"/>
            <w:vMerge w:val="restart"/>
            <w:tcBorders>
              <w:top w:val="single" w:sz="4" w:space="0" w:color="000000"/>
              <w:left w:val="single" w:sz="4" w:space="0" w:color="000000"/>
              <w:bottom w:val="nil"/>
              <w:right w:val="single" w:sz="4" w:space="0" w:color="000000"/>
            </w:tcBorders>
          </w:tcPr>
          <w:p w14:paraId="5FC8613C" w14:textId="77777777" w:rsidR="003D3187" w:rsidRDefault="00000000">
            <w:pPr>
              <w:spacing w:after="40" w:line="259" w:lineRule="auto"/>
              <w:ind w:left="0" w:right="57" w:firstLine="0"/>
              <w:jc w:val="right"/>
            </w:pPr>
            <w:r>
              <w:rPr>
                <w:sz w:val="20"/>
              </w:rPr>
              <w:t xml:space="preserve">29.429 </w:t>
            </w:r>
          </w:p>
          <w:p w14:paraId="2547318F" w14:textId="77777777" w:rsidR="003D3187" w:rsidRDefault="00000000">
            <w:pPr>
              <w:spacing w:after="0" w:line="259" w:lineRule="auto"/>
              <w:ind w:left="0" w:right="57" w:firstLine="0"/>
              <w:jc w:val="right"/>
            </w:pPr>
            <w:r>
              <w:rPr>
                <w:sz w:val="20"/>
              </w:rPr>
              <w:t xml:space="preserve">16.759 </w:t>
            </w:r>
          </w:p>
        </w:tc>
        <w:tc>
          <w:tcPr>
            <w:tcW w:w="1099" w:type="dxa"/>
            <w:vMerge w:val="restart"/>
            <w:tcBorders>
              <w:top w:val="single" w:sz="4" w:space="0" w:color="000000"/>
              <w:left w:val="single" w:sz="4" w:space="0" w:color="000000"/>
              <w:bottom w:val="nil"/>
              <w:right w:val="single" w:sz="4" w:space="0" w:color="000000"/>
            </w:tcBorders>
          </w:tcPr>
          <w:p w14:paraId="374510F8" w14:textId="77777777" w:rsidR="003D3187" w:rsidRDefault="00000000">
            <w:pPr>
              <w:spacing w:after="40" w:line="259" w:lineRule="auto"/>
              <w:ind w:left="0" w:right="57" w:firstLine="0"/>
              <w:jc w:val="right"/>
            </w:pPr>
            <w:r>
              <w:rPr>
                <w:sz w:val="20"/>
              </w:rPr>
              <w:t xml:space="preserve">5.480 </w:t>
            </w:r>
          </w:p>
          <w:p w14:paraId="6FA8C1A6" w14:textId="77777777" w:rsidR="003D3187" w:rsidRDefault="00000000">
            <w:pPr>
              <w:spacing w:after="0" w:line="259" w:lineRule="auto"/>
              <w:ind w:left="0" w:right="57" w:firstLine="0"/>
              <w:jc w:val="right"/>
            </w:pPr>
            <w:r>
              <w:rPr>
                <w:sz w:val="20"/>
              </w:rPr>
              <w:t xml:space="preserve">2.184 </w:t>
            </w:r>
          </w:p>
        </w:tc>
        <w:tc>
          <w:tcPr>
            <w:tcW w:w="1098" w:type="dxa"/>
            <w:vMerge w:val="restart"/>
            <w:tcBorders>
              <w:top w:val="single" w:sz="4" w:space="0" w:color="000000"/>
              <w:left w:val="single" w:sz="4" w:space="0" w:color="000000"/>
              <w:bottom w:val="nil"/>
              <w:right w:val="single" w:sz="4" w:space="0" w:color="000000"/>
            </w:tcBorders>
          </w:tcPr>
          <w:p w14:paraId="3819E90D" w14:textId="77777777" w:rsidR="003D3187" w:rsidRDefault="00000000">
            <w:pPr>
              <w:spacing w:after="40" w:line="259" w:lineRule="auto"/>
              <w:ind w:left="0" w:right="57" w:firstLine="0"/>
              <w:jc w:val="right"/>
            </w:pPr>
            <w:r>
              <w:rPr>
                <w:sz w:val="20"/>
              </w:rPr>
              <w:t xml:space="preserve">7.303 </w:t>
            </w:r>
          </w:p>
          <w:p w14:paraId="550E795A" w14:textId="77777777" w:rsidR="003D3187" w:rsidRDefault="00000000">
            <w:pPr>
              <w:spacing w:after="0" w:line="259" w:lineRule="auto"/>
              <w:ind w:left="0" w:right="57" w:firstLine="0"/>
              <w:jc w:val="right"/>
            </w:pPr>
            <w:r>
              <w:rPr>
                <w:sz w:val="20"/>
              </w:rPr>
              <w:t xml:space="preserve">1.758 </w:t>
            </w:r>
          </w:p>
        </w:tc>
        <w:tc>
          <w:tcPr>
            <w:tcW w:w="1099" w:type="dxa"/>
            <w:vMerge w:val="restart"/>
            <w:tcBorders>
              <w:top w:val="single" w:sz="4" w:space="0" w:color="000000"/>
              <w:left w:val="single" w:sz="4" w:space="0" w:color="000000"/>
              <w:bottom w:val="nil"/>
              <w:right w:val="single" w:sz="4" w:space="0" w:color="000000"/>
            </w:tcBorders>
          </w:tcPr>
          <w:p w14:paraId="27526589" w14:textId="77777777" w:rsidR="003D3187" w:rsidRDefault="00000000">
            <w:pPr>
              <w:spacing w:after="40" w:line="259" w:lineRule="auto"/>
              <w:ind w:left="0" w:right="57" w:firstLine="0"/>
              <w:jc w:val="right"/>
            </w:pPr>
            <w:r>
              <w:rPr>
                <w:sz w:val="20"/>
              </w:rPr>
              <w:t xml:space="preserve">7.610 </w:t>
            </w:r>
          </w:p>
          <w:p w14:paraId="1F0E0B91" w14:textId="77777777" w:rsidR="003D3187" w:rsidRDefault="00000000">
            <w:pPr>
              <w:spacing w:after="0" w:line="259" w:lineRule="auto"/>
              <w:ind w:left="0" w:right="57" w:firstLine="0"/>
              <w:jc w:val="right"/>
            </w:pPr>
            <w:r>
              <w:rPr>
                <w:sz w:val="20"/>
              </w:rPr>
              <w:t xml:space="preserve">2.316 </w:t>
            </w:r>
          </w:p>
        </w:tc>
        <w:tc>
          <w:tcPr>
            <w:tcW w:w="1294" w:type="dxa"/>
            <w:vMerge w:val="restart"/>
            <w:tcBorders>
              <w:top w:val="single" w:sz="4" w:space="0" w:color="000000"/>
              <w:left w:val="single" w:sz="4" w:space="0" w:color="000000"/>
              <w:bottom w:val="nil"/>
              <w:right w:val="single" w:sz="4" w:space="0" w:color="000000"/>
            </w:tcBorders>
          </w:tcPr>
          <w:p w14:paraId="78DE887F" w14:textId="77777777" w:rsidR="003D3187" w:rsidRDefault="00000000">
            <w:pPr>
              <w:spacing w:after="40" w:line="259" w:lineRule="auto"/>
              <w:ind w:left="0" w:right="56" w:firstLine="0"/>
              <w:jc w:val="right"/>
            </w:pPr>
            <w:r>
              <w:rPr>
                <w:sz w:val="20"/>
              </w:rPr>
              <w:t xml:space="preserve">49.822 </w:t>
            </w:r>
          </w:p>
          <w:p w14:paraId="0C2773A4" w14:textId="77777777" w:rsidR="003D3187" w:rsidRDefault="00000000">
            <w:pPr>
              <w:spacing w:after="0" w:line="259" w:lineRule="auto"/>
              <w:ind w:left="0" w:right="56" w:firstLine="0"/>
              <w:jc w:val="right"/>
            </w:pPr>
            <w:r>
              <w:rPr>
                <w:sz w:val="20"/>
              </w:rPr>
              <w:t xml:space="preserve">23.016 </w:t>
            </w:r>
          </w:p>
        </w:tc>
      </w:tr>
      <w:tr w:rsidR="003D3187" w14:paraId="728BB67B" w14:textId="77777777">
        <w:trPr>
          <w:trHeight w:val="294"/>
        </w:trPr>
        <w:tc>
          <w:tcPr>
            <w:tcW w:w="2972" w:type="dxa"/>
            <w:tcBorders>
              <w:top w:val="nil"/>
              <w:left w:val="single" w:sz="4" w:space="0" w:color="000000"/>
              <w:bottom w:val="nil"/>
              <w:right w:val="single" w:sz="4" w:space="0" w:color="000000"/>
            </w:tcBorders>
          </w:tcPr>
          <w:p w14:paraId="76C20F3D" w14:textId="77777777" w:rsidR="003D3187" w:rsidRDefault="00000000">
            <w:pPr>
              <w:spacing w:after="0" w:line="259" w:lineRule="auto"/>
              <w:ind w:left="0" w:firstLine="0"/>
            </w:pPr>
            <w:r>
              <w:rPr>
                <w:sz w:val="20"/>
              </w:rPr>
              <w:t xml:space="preserve">Children &amp; Education Services </w:t>
            </w:r>
          </w:p>
        </w:tc>
        <w:tc>
          <w:tcPr>
            <w:tcW w:w="0" w:type="auto"/>
            <w:vMerge/>
            <w:tcBorders>
              <w:top w:val="nil"/>
              <w:left w:val="single" w:sz="4" w:space="0" w:color="000000"/>
              <w:bottom w:val="nil"/>
              <w:right w:val="single" w:sz="4" w:space="0" w:color="000000"/>
            </w:tcBorders>
          </w:tcPr>
          <w:p w14:paraId="0DCF981D" w14:textId="77777777" w:rsidR="003D3187" w:rsidRDefault="003D3187">
            <w:pPr>
              <w:spacing w:after="160" w:line="259" w:lineRule="auto"/>
              <w:ind w:left="0" w:firstLine="0"/>
            </w:pPr>
          </w:p>
        </w:tc>
        <w:tc>
          <w:tcPr>
            <w:tcW w:w="0" w:type="auto"/>
            <w:vMerge/>
            <w:tcBorders>
              <w:top w:val="nil"/>
              <w:left w:val="single" w:sz="4" w:space="0" w:color="000000"/>
              <w:bottom w:val="nil"/>
              <w:right w:val="single" w:sz="4" w:space="0" w:color="000000"/>
            </w:tcBorders>
          </w:tcPr>
          <w:p w14:paraId="700B5B3C" w14:textId="77777777" w:rsidR="003D3187" w:rsidRDefault="003D3187">
            <w:pPr>
              <w:spacing w:after="160" w:line="259" w:lineRule="auto"/>
              <w:ind w:left="0" w:firstLine="0"/>
            </w:pPr>
          </w:p>
        </w:tc>
        <w:tc>
          <w:tcPr>
            <w:tcW w:w="0" w:type="auto"/>
            <w:vMerge/>
            <w:tcBorders>
              <w:top w:val="nil"/>
              <w:left w:val="single" w:sz="4" w:space="0" w:color="000000"/>
              <w:bottom w:val="nil"/>
              <w:right w:val="single" w:sz="4" w:space="0" w:color="000000"/>
            </w:tcBorders>
          </w:tcPr>
          <w:p w14:paraId="7EB810AB" w14:textId="77777777" w:rsidR="003D3187" w:rsidRDefault="003D3187">
            <w:pPr>
              <w:spacing w:after="160" w:line="259" w:lineRule="auto"/>
              <w:ind w:left="0" w:firstLine="0"/>
            </w:pPr>
          </w:p>
        </w:tc>
        <w:tc>
          <w:tcPr>
            <w:tcW w:w="0" w:type="auto"/>
            <w:vMerge/>
            <w:tcBorders>
              <w:top w:val="nil"/>
              <w:left w:val="single" w:sz="4" w:space="0" w:color="000000"/>
              <w:bottom w:val="nil"/>
              <w:right w:val="single" w:sz="4" w:space="0" w:color="000000"/>
            </w:tcBorders>
          </w:tcPr>
          <w:p w14:paraId="76646455" w14:textId="77777777" w:rsidR="003D3187" w:rsidRDefault="003D3187">
            <w:pPr>
              <w:spacing w:after="160" w:line="259" w:lineRule="auto"/>
              <w:ind w:left="0" w:firstLine="0"/>
            </w:pPr>
          </w:p>
        </w:tc>
        <w:tc>
          <w:tcPr>
            <w:tcW w:w="0" w:type="auto"/>
            <w:vMerge/>
            <w:tcBorders>
              <w:top w:val="nil"/>
              <w:left w:val="single" w:sz="4" w:space="0" w:color="000000"/>
              <w:bottom w:val="nil"/>
              <w:right w:val="single" w:sz="4" w:space="0" w:color="000000"/>
            </w:tcBorders>
          </w:tcPr>
          <w:p w14:paraId="046A0698" w14:textId="77777777" w:rsidR="003D3187" w:rsidRDefault="003D3187">
            <w:pPr>
              <w:spacing w:after="160" w:line="259" w:lineRule="auto"/>
              <w:ind w:left="0" w:firstLine="0"/>
            </w:pPr>
          </w:p>
        </w:tc>
      </w:tr>
      <w:tr w:rsidR="003D3187" w14:paraId="2FB85323" w14:textId="77777777">
        <w:trPr>
          <w:trHeight w:val="489"/>
        </w:trPr>
        <w:tc>
          <w:tcPr>
            <w:tcW w:w="2972" w:type="dxa"/>
            <w:tcBorders>
              <w:top w:val="nil"/>
              <w:left w:val="single" w:sz="4" w:space="0" w:color="000000"/>
              <w:bottom w:val="nil"/>
              <w:right w:val="single" w:sz="4" w:space="0" w:color="000000"/>
            </w:tcBorders>
          </w:tcPr>
          <w:p w14:paraId="74E46E89" w14:textId="77777777" w:rsidR="003D3187" w:rsidRDefault="00000000">
            <w:pPr>
              <w:spacing w:after="0" w:line="259" w:lineRule="auto"/>
              <w:ind w:left="0" w:firstLine="0"/>
            </w:pPr>
            <w:r>
              <w:rPr>
                <w:sz w:val="20"/>
              </w:rPr>
              <w:t xml:space="preserve">Communities, Environment &amp; Resident Services </w:t>
            </w:r>
          </w:p>
        </w:tc>
        <w:tc>
          <w:tcPr>
            <w:tcW w:w="1097" w:type="dxa"/>
            <w:tcBorders>
              <w:top w:val="nil"/>
              <w:left w:val="single" w:sz="4" w:space="0" w:color="000000"/>
              <w:bottom w:val="nil"/>
              <w:right w:val="single" w:sz="4" w:space="0" w:color="000000"/>
            </w:tcBorders>
            <w:vAlign w:val="center"/>
          </w:tcPr>
          <w:p w14:paraId="7A7186A9" w14:textId="77777777" w:rsidR="003D3187" w:rsidRDefault="00000000">
            <w:pPr>
              <w:spacing w:after="0" w:line="259" w:lineRule="auto"/>
              <w:ind w:left="0" w:right="57" w:firstLine="0"/>
              <w:jc w:val="right"/>
            </w:pPr>
            <w:r>
              <w:rPr>
                <w:sz w:val="20"/>
              </w:rPr>
              <w:t xml:space="preserve">1.018 </w:t>
            </w:r>
          </w:p>
        </w:tc>
        <w:tc>
          <w:tcPr>
            <w:tcW w:w="1099" w:type="dxa"/>
            <w:tcBorders>
              <w:top w:val="nil"/>
              <w:left w:val="single" w:sz="4" w:space="0" w:color="000000"/>
              <w:bottom w:val="nil"/>
              <w:right w:val="single" w:sz="4" w:space="0" w:color="000000"/>
            </w:tcBorders>
            <w:vAlign w:val="center"/>
          </w:tcPr>
          <w:p w14:paraId="7047FC33" w14:textId="77777777" w:rsidR="003D3187" w:rsidRDefault="00000000">
            <w:pPr>
              <w:spacing w:after="0" w:line="259" w:lineRule="auto"/>
              <w:ind w:left="0" w:right="57" w:firstLine="0"/>
              <w:jc w:val="right"/>
            </w:pPr>
            <w:r>
              <w:rPr>
                <w:sz w:val="20"/>
              </w:rPr>
              <w:t xml:space="preserve">(0.533) </w:t>
            </w:r>
          </w:p>
        </w:tc>
        <w:tc>
          <w:tcPr>
            <w:tcW w:w="1098" w:type="dxa"/>
            <w:tcBorders>
              <w:top w:val="nil"/>
              <w:left w:val="single" w:sz="4" w:space="0" w:color="000000"/>
              <w:bottom w:val="nil"/>
              <w:right w:val="single" w:sz="4" w:space="0" w:color="000000"/>
            </w:tcBorders>
            <w:vAlign w:val="center"/>
          </w:tcPr>
          <w:p w14:paraId="14A325A5" w14:textId="77777777" w:rsidR="003D3187" w:rsidRDefault="00000000">
            <w:pPr>
              <w:spacing w:after="0" w:line="259" w:lineRule="auto"/>
              <w:ind w:left="0" w:right="57" w:firstLine="0"/>
              <w:jc w:val="right"/>
            </w:pPr>
            <w:r>
              <w:rPr>
                <w:sz w:val="20"/>
              </w:rPr>
              <w:t xml:space="preserve">(0.299) </w:t>
            </w:r>
          </w:p>
        </w:tc>
        <w:tc>
          <w:tcPr>
            <w:tcW w:w="1099" w:type="dxa"/>
            <w:tcBorders>
              <w:top w:val="nil"/>
              <w:left w:val="single" w:sz="4" w:space="0" w:color="000000"/>
              <w:bottom w:val="nil"/>
              <w:right w:val="single" w:sz="4" w:space="0" w:color="000000"/>
            </w:tcBorders>
            <w:vAlign w:val="center"/>
          </w:tcPr>
          <w:p w14:paraId="51E7DAD2" w14:textId="77777777" w:rsidR="003D3187" w:rsidRDefault="00000000">
            <w:pPr>
              <w:spacing w:after="0" w:line="259" w:lineRule="auto"/>
              <w:ind w:left="0" w:right="57" w:firstLine="0"/>
              <w:jc w:val="right"/>
            </w:pPr>
            <w:r>
              <w:rPr>
                <w:sz w:val="20"/>
              </w:rPr>
              <w:t xml:space="preserve">0.338 </w:t>
            </w:r>
          </w:p>
        </w:tc>
        <w:tc>
          <w:tcPr>
            <w:tcW w:w="1294" w:type="dxa"/>
            <w:tcBorders>
              <w:top w:val="nil"/>
              <w:left w:val="single" w:sz="4" w:space="0" w:color="000000"/>
              <w:bottom w:val="nil"/>
              <w:right w:val="single" w:sz="4" w:space="0" w:color="000000"/>
            </w:tcBorders>
            <w:vAlign w:val="center"/>
          </w:tcPr>
          <w:p w14:paraId="46C286C0" w14:textId="77777777" w:rsidR="003D3187" w:rsidRDefault="00000000">
            <w:pPr>
              <w:spacing w:after="0" w:line="259" w:lineRule="auto"/>
              <w:ind w:left="0" w:right="56" w:firstLine="0"/>
              <w:jc w:val="right"/>
            </w:pPr>
            <w:r>
              <w:rPr>
                <w:sz w:val="20"/>
              </w:rPr>
              <w:t xml:space="preserve">0.525 </w:t>
            </w:r>
          </w:p>
        </w:tc>
      </w:tr>
      <w:tr w:rsidR="003D3187" w14:paraId="5108201A" w14:textId="77777777">
        <w:trPr>
          <w:trHeight w:val="273"/>
        </w:trPr>
        <w:tc>
          <w:tcPr>
            <w:tcW w:w="2972" w:type="dxa"/>
            <w:tcBorders>
              <w:top w:val="nil"/>
              <w:left w:val="single" w:sz="4" w:space="0" w:color="000000"/>
              <w:bottom w:val="nil"/>
              <w:right w:val="single" w:sz="4" w:space="0" w:color="000000"/>
            </w:tcBorders>
          </w:tcPr>
          <w:p w14:paraId="4D5A21F5" w14:textId="77777777" w:rsidR="003D3187" w:rsidRDefault="00000000">
            <w:pPr>
              <w:spacing w:after="0" w:line="259" w:lineRule="auto"/>
              <w:ind w:left="0" w:firstLine="0"/>
            </w:pPr>
            <w:r>
              <w:rPr>
                <w:sz w:val="20"/>
              </w:rPr>
              <w:t xml:space="preserve">Growth &amp; City Development </w:t>
            </w:r>
          </w:p>
        </w:tc>
        <w:tc>
          <w:tcPr>
            <w:tcW w:w="1097" w:type="dxa"/>
            <w:tcBorders>
              <w:top w:val="nil"/>
              <w:left w:val="single" w:sz="4" w:space="0" w:color="000000"/>
              <w:bottom w:val="nil"/>
              <w:right w:val="single" w:sz="4" w:space="0" w:color="000000"/>
            </w:tcBorders>
          </w:tcPr>
          <w:p w14:paraId="15D58F58" w14:textId="77777777" w:rsidR="003D3187" w:rsidRDefault="00000000">
            <w:pPr>
              <w:spacing w:after="0" w:line="259" w:lineRule="auto"/>
              <w:ind w:left="0" w:right="57" w:firstLine="0"/>
              <w:jc w:val="right"/>
            </w:pPr>
            <w:r>
              <w:rPr>
                <w:sz w:val="20"/>
              </w:rPr>
              <w:t xml:space="preserve">(0.127) </w:t>
            </w:r>
          </w:p>
        </w:tc>
        <w:tc>
          <w:tcPr>
            <w:tcW w:w="1099" w:type="dxa"/>
            <w:tcBorders>
              <w:top w:val="nil"/>
              <w:left w:val="single" w:sz="4" w:space="0" w:color="000000"/>
              <w:bottom w:val="nil"/>
              <w:right w:val="single" w:sz="4" w:space="0" w:color="000000"/>
            </w:tcBorders>
          </w:tcPr>
          <w:p w14:paraId="3CE8E68E" w14:textId="77777777" w:rsidR="003D3187" w:rsidRDefault="00000000">
            <w:pPr>
              <w:spacing w:after="0" w:line="259" w:lineRule="auto"/>
              <w:ind w:left="0" w:right="57" w:firstLine="0"/>
              <w:jc w:val="right"/>
            </w:pPr>
            <w:r>
              <w:rPr>
                <w:sz w:val="20"/>
              </w:rPr>
              <w:t xml:space="preserve">0.588 </w:t>
            </w:r>
          </w:p>
        </w:tc>
        <w:tc>
          <w:tcPr>
            <w:tcW w:w="1098" w:type="dxa"/>
            <w:tcBorders>
              <w:top w:val="nil"/>
              <w:left w:val="single" w:sz="4" w:space="0" w:color="000000"/>
              <w:bottom w:val="nil"/>
              <w:right w:val="single" w:sz="4" w:space="0" w:color="000000"/>
            </w:tcBorders>
          </w:tcPr>
          <w:p w14:paraId="4DE1A948" w14:textId="77777777" w:rsidR="003D3187" w:rsidRDefault="00000000">
            <w:pPr>
              <w:spacing w:after="0" w:line="259" w:lineRule="auto"/>
              <w:ind w:left="0" w:right="57" w:firstLine="0"/>
              <w:jc w:val="right"/>
            </w:pPr>
            <w:r>
              <w:rPr>
                <w:sz w:val="20"/>
              </w:rPr>
              <w:t xml:space="preserve">0.311 </w:t>
            </w:r>
          </w:p>
        </w:tc>
        <w:tc>
          <w:tcPr>
            <w:tcW w:w="1099" w:type="dxa"/>
            <w:tcBorders>
              <w:top w:val="nil"/>
              <w:left w:val="single" w:sz="4" w:space="0" w:color="000000"/>
              <w:bottom w:val="nil"/>
              <w:right w:val="single" w:sz="4" w:space="0" w:color="000000"/>
            </w:tcBorders>
          </w:tcPr>
          <w:p w14:paraId="652804DF" w14:textId="77777777" w:rsidR="003D3187" w:rsidRDefault="00000000">
            <w:pPr>
              <w:spacing w:after="0" w:line="259" w:lineRule="auto"/>
              <w:ind w:left="0" w:right="57" w:firstLine="0"/>
              <w:jc w:val="right"/>
            </w:pPr>
            <w:r>
              <w:rPr>
                <w:sz w:val="20"/>
              </w:rPr>
              <w:t xml:space="preserve">0.000 </w:t>
            </w:r>
          </w:p>
        </w:tc>
        <w:tc>
          <w:tcPr>
            <w:tcW w:w="1294" w:type="dxa"/>
            <w:tcBorders>
              <w:top w:val="nil"/>
              <w:left w:val="single" w:sz="4" w:space="0" w:color="000000"/>
              <w:bottom w:val="nil"/>
              <w:right w:val="single" w:sz="4" w:space="0" w:color="000000"/>
            </w:tcBorders>
          </w:tcPr>
          <w:p w14:paraId="4B4FD76C" w14:textId="77777777" w:rsidR="003D3187" w:rsidRDefault="00000000">
            <w:pPr>
              <w:spacing w:after="0" w:line="259" w:lineRule="auto"/>
              <w:ind w:left="0" w:right="56" w:firstLine="0"/>
              <w:jc w:val="right"/>
            </w:pPr>
            <w:r>
              <w:rPr>
                <w:sz w:val="20"/>
              </w:rPr>
              <w:t xml:space="preserve">0.772 </w:t>
            </w:r>
          </w:p>
        </w:tc>
      </w:tr>
      <w:tr w:rsidR="003D3187" w14:paraId="104A9A40" w14:textId="77777777">
        <w:trPr>
          <w:trHeight w:val="288"/>
        </w:trPr>
        <w:tc>
          <w:tcPr>
            <w:tcW w:w="2972" w:type="dxa"/>
            <w:tcBorders>
              <w:top w:val="nil"/>
              <w:left w:val="single" w:sz="4" w:space="0" w:color="000000"/>
              <w:bottom w:val="nil"/>
              <w:right w:val="single" w:sz="4" w:space="0" w:color="000000"/>
            </w:tcBorders>
          </w:tcPr>
          <w:p w14:paraId="3FC4656E" w14:textId="77777777" w:rsidR="003D3187" w:rsidRDefault="00000000">
            <w:pPr>
              <w:spacing w:after="0" w:line="259" w:lineRule="auto"/>
              <w:ind w:left="0" w:firstLine="0"/>
            </w:pPr>
            <w:r>
              <w:rPr>
                <w:sz w:val="20"/>
              </w:rPr>
              <w:t xml:space="preserve">Finance &amp; Resources </w:t>
            </w:r>
          </w:p>
        </w:tc>
        <w:tc>
          <w:tcPr>
            <w:tcW w:w="1097" w:type="dxa"/>
            <w:tcBorders>
              <w:top w:val="nil"/>
              <w:left w:val="single" w:sz="4" w:space="0" w:color="000000"/>
              <w:bottom w:val="nil"/>
              <w:right w:val="single" w:sz="4" w:space="0" w:color="000000"/>
            </w:tcBorders>
          </w:tcPr>
          <w:p w14:paraId="6C73FA96" w14:textId="77777777" w:rsidR="003D3187" w:rsidRDefault="00000000">
            <w:pPr>
              <w:spacing w:after="0" w:line="259" w:lineRule="auto"/>
              <w:ind w:left="0" w:right="57" w:firstLine="0"/>
              <w:jc w:val="right"/>
            </w:pPr>
            <w:r>
              <w:rPr>
                <w:sz w:val="20"/>
              </w:rPr>
              <w:t xml:space="preserve">(2.666) </w:t>
            </w:r>
          </w:p>
        </w:tc>
        <w:tc>
          <w:tcPr>
            <w:tcW w:w="1099" w:type="dxa"/>
            <w:tcBorders>
              <w:top w:val="nil"/>
              <w:left w:val="single" w:sz="4" w:space="0" w:color="000000"/>
              <w:bottom w:val="nil"/>
              <w:right w:val="single" w:sz="4" w:space="0" w:color="000000"/>
            </w:tcBorders>
          </w:tcPr>
          <w:p w14:paraId="38612D3A" w14:textId="77777777" w:rsidR="003D3187" w:rsidRDefault="00000000">
            <w:pPr>
              <w:spacing w:after="0" w:line="259" w:lineRule="auto"/>
              <w:ind w:left="0" w:right="57" w:firstLine="0"/>
              <w:jc w:val="right"/>
            </w:pPr>
            <w:r>
              <w:rPr>
                <w:sz w:val="20"/>
              </w:rPr>
              <w:t xml:space="preserve">(0.176) </w:t>
            </w:r>
          </w:p>
        </w:tc>
        <w:tc>
          <w:tcPr>
            <w:tcW w:w="1098" w:type="dxa"/>
            <w:tcBorders>
              <w:top w:val="nil"/>
              <w:left w:val="single" w:sz="4" w:space="0" w:color="000000"/>
              <w:bottom w:val="nil"/>
              <w:right w:val="single" w:sz="4" w:space="0" w:color="000000"/>
            </w:tcBorders>
          </w:tcPr>
          <w:p w14:paraId="0310D0BB" w14:textId="77777777" w:rsidR="003D3187" w:rsidRDefault="00000000">
            <w:pPr>
              <w:spacing w:after="0" w:line="259" w:lineRule="auto"/>
              <w:ind w:left="0" w:right="57" w:firstLine="0"/>
              <w:jc w:val="right"/>
            </w:pPr>
            <w:r>
              <w:rPr>
                <w:sz w:val="20"/>
              </w:rPr>
              <w:t xml:space="preserve">(0.357) </w:t>
            </w:r>
          </w:p>
        </w:tc>
        <w:tc>
          <w:tcPr>
            <w:tcW w:w="1099" w:type="dxa"/>
            <w:tcBorders>
              <w:top w:val="nil"/>
              <w:left w:val="single" w:sz="4" w:space="0" w:color="000000"/>
              <w:bottom w:val="nil"/>
              <w:right w:val="single" w:sz="4" w:space="0" w:color="000000"/>
            </w:tcBorders>
          </w:tcPr>
          <w:p w14:paraId="3724546D" w14:textId="77777777" w:rsidR="003D3187" w:rsidRDefault="00000000">
            <w:pPr>
              <w:spacing w:after="0" w:line="259" w:lineRule="auto"/>
              <w:ind w:left="0" w:right="57" w:firstLine="0"/>
              <w:jc w:val="right"/>
            </w:pPr>
            <w:r>
              <w:rPr>
                <w:sz w:val="20"/>
              </w:rPr>
              <w:t xml:space="preserve">0.000 </w:t>
            </w:r>
          </w:p>
        </w:tc>
        <w:tc>
          <w:tcPr>
            <w:tcW w:w="1294" w:type="dxa"/>
            <w:tcBorders>
              <w:top w:val="nil"/>
              <w:left w:val="single" w:sz="4" w:space="0" w:color="000000"/>
              <w:bottom w:val="nil"/>
              <w:right w:val="single" w:sz="4" w:space="0" w:color="000000"/>
            </w:tcBorders>
          </w:tcPr>
          <w:p w14:paraId="07C79FD0" w14:textId="77777777" w:rsidR="003D3187" w:rsidRDefault="00000000">
            <w:pPr>
              <w:spacing w:after="0" w:line="259" w:lineRule="auto"/>
              <w:ind w:left="0" w:right="56" w:firstLine="0"/>
              <w:jc w:val="right"/>
            </w:pPr>
            <w:r>
              <w:rPr>
                <w:sz w:val="20"/>
              </w:rPr>
              <w:t xml:space="preserve">(3.198) </w:t>
            </w:r>
          </w:p>
        </w:tc>
      </w:tr>
      <w:tr w:rsidR="003D3187" w14:paraId="58B80DF7" w14:textId="77777777">
        <w:trPr>
          <w:trHeight w:val="288"/>
        </w:trPr>
        <w:tc>
          <w:tcPr>
            <w:tcW w:w="2972" w:type="dxa"/>
            <w:tcBorders>
              <w:top w:val="nil"/>
              <w:left w:val="single" w:sz="4" w:space="0" w:color="000000"/>
              <w:bottom w:val="nil"/>
              <w:right w:val="single" w:sz="4" w:space="0" w:color="000000"/>
            </w:tcBorders>
          </w:tcPr>
          <w:p w14:paraId="190C38C2" w14:textId="77777777" w:rsidR="003D3187" w:rsidRDefault="00000000">
            <w:pPr>
              <w:spacing w:after="0" w:line="259" w:lineRule="auto"/>
              <w:ind w:left="0" w:firstLine="0"/>
            </w:pPr>
            <w:r>
              <w:rPr>
                <w:sz w:val="20"/>
              </w:rPr>
              <w:t xml:space="preserve">Chief Executive </w:t>
            </w:r>
          </w:p>
        </w:tc>
        <w:tc>
          <w:tcPr>
            <w:tcW w:w="1097" w:type="dxa"/>
            <w:tcBorders>
              <w:top w:val="nil"/>
              <w:left w:val="single" w:sz="4" w:space="0" w:color="000000"/>
              <w:bottom w:val="nil"/>
              <w:right w:val="single" w:sz="4" w:space="0" w:color="000000"/>
            </w:tcBorders>
          </w:tcPr>
          <w:p w14:paraId="04EA241A" w14:textId="77777777" w:rsidR="003D3187" w:rsidRDefault="00000000">
            <w:pPr>
              <w:spacing w:after="0" w:line="259" w:lineRule="auto"/>
              <w:ind w:left="0" w:right="57" w:firstLine="0"/>
              <w:jc w:val="right"/>
            </w:pPr>
            <w:r>
              <w:rPr>
                <w:sz w:val="20"/>
              </w:rPr>
              <w:t xml:space="preserve">0.274 </w:t>
            </w:r>
          </w:p>
        </w:tc>
        <w:tc>
          <w:tcPr>
            <w:tcW w:w="1099" w:type="dxa"/>
            <w:tcBorders>
              <w:top w:val="nil"/>
              <w:left w:val="single" w:sz="4" w:space="0" w:color="000000"/>
              <w:bottom w:val="nil"/>
              <w:right w:val="single" w:sz="4" w:space="0" w:color="000000"/>
            </w:tcBorders>
          </w:tcPr>
          <w:p w14:paraId="2577A0B6" w14:textId="77777777" w:rsidR="003D3187" w:rsidRDefault="00000000">
            <w:pPr>
              <w:spacing w:after="0" w:line="259" w:lineRule="auto"/>
              <w:ind w:left="0" w:right="57" w:firstLine="0"/>
              <w:jc w:val="right"/>
            </w:pPr>
            <w:r>
              <w:rPr>
                <w:sz w:val="20"/>
              </w:rPr>
              <w:t xml:space="preserve">(0.806) </w:t>
            </w:r>
          </w:p>
        </w:tc>
        <w:tc>
          <w:tcPr>
            <w:tcW w:w="1098" w:type="dxa"/>
            <w:tcBorders>
              <w:top w:val="nil"/>
              <w:left w:val="single" w:sz="4" w:space="0" w:color="000000"/>
              <w:bottom w:val="nil"/>
              <w:right w:val="single" w:sz="4" w:space="0" w:color="000000"/>
            </w:tcBorders>
          </w:tcPr>
          <w:p w14:paraId="795D207C" w14:textId="77777777" w:rsidR="003D3187" w:rsidRDefault="00000000">
            <w:pPr>
              <w:spacing w:after="0" w:line="259" w:lineRule="auto"/>
              <w:ind w:left="0" w:right="57" w:firstLine="0"/>
              <w:jc w:val="right"/>
            </w:pPr>
            <w:r>
              <w:rPr>
                <w:sz w:val="20"/>
              </w:rPr>
              <w:t xml:space="preserve">0.000 </w:t>
            </w:r>
          </w:p>
        </w:tc>
        <w:tc>
          <w:tcPr>
            <w:tcW w:w="1099" w:type="dxa"/>
            <w:tcBorders>
              <w:top w:val="nil"/>
              <w:left w:val="single" w:sz="4" w:space="0" w:color="000000"/>
              <w:bottom w:val="nil"/>
              <w:right w:val="single" w:sz="4" w:space="0" w:color="000000"/>
            </w:tcBorders>
          </w:tcPr>
          <w:p w14:paraId="04B421FF" w14:textId="77777777" w:rsidR="003D3187" w:rsidRDefault="00000000">
            <w:pPr>
              <w:spacing w:after="0" w:line="259" w:lineRule="auto"/>
              <w:ind w:left="0" w:right="57" w:firstLine="0"/>
              <w:jc w:val="right"/>
            </w:pPr>
            <w:r>
              <w:rPr>
                <w:sz w:val="20"/>
              </w:rPr>
              <w:t xml:space="preserve">0.000 </w:t>
            </w:r>
          </w:p>
        </w:tc>
        <w:tc>
          <w:tcPr>
            <w:tcW w:w="1294" w:type="dxa"/>
            <w:tcBorders>
              <w:top w:val="nil"/>
              <w:left w:val="single" w:sz="4" w:space="0" w:color="000000"/>
              <w:bottom w:val="nil"/>
              <w:right w:val="single" w:sz="4" w:space="0" w:color="000000"/>
            </w:tcBorders>
          </w:tcPr>
          <w:p w14:paraId="0D88EB50" w14:textId="77777777" w:rsidR="003D3187" w:rsidRDefault="00000000">
            <w:pPr>
              <w:spacing w:after="0" w:line="259" w:lineRule="auto"/>
              <w:ind w:left="0" w:right="56" w:firstLine="0"/>
              <w:jc w:val="right"/>
            </w:pPr>
            <w:r>
              <w:rPr>
                <w:sz w:val="20"/>
              </w:rPr>
              <w:t xml:space="preserve">(0.532) </w:t>
            </w:r>
          </w:p>
        </w:tc>
      </w:tr>
      <w:tr w:rsidR="003D3187" w14:paraId="248BDA58" w14:textId="77777777">
        <w:trPr>
          <w:trHeight w:val="288"/>
        </w:trPr>
        <w:tc>
          <w:tcPr>
            <w:tcW w:w="2972" w:type="dxa"/>
            <w:tcBorders>
              <w:top w:val="nil"/>
              <w:left w:val="single" w:sz="4" w:space="0" w:color="000000"/>
              <w:bottom w:val="nil"/>
              <w:right w:val="single" w:sz="4" w:space="0" w:color="000000"/>
            </w:tcBorders>
          </w:tcPr>
          <w:p w14:paraId="27FC9586" w14:textId="77777777" w:rsidR="003D3187" w:rsidRDefault="00000000">
            <w:pPr>
              <w:spacing w:after="0" w:line="259" w:lineRule="auto"/>
              <w:ind w:left="0" w:firstLine="0"/>
            </w:pPr>
            <w:r>
              <w:rPr>
                <w:sz w:val="20"/>
              </w:rPr>
              <w:t xml:space="preserve">Companies </w:t>
            </w:r>
          </w:p>
        </w:tc>
        <w:tc>
          <w:tcPr>
            <w:tcW w:w="1097" w:type="dxa"/>
            <w:tcBorders>
              <w:top w:val="nil"/>
              <w:left w:val="single" w:sz="4" w:space="0" w:color="000000"/>
              <w:bottom w:val="nil"/>
              <w:right w:val="single" w:sz="4" w:space="0" w:color="000000"/>
            </w:tcBorders>
          </w:tcPr>
          <w:p w14:paraId="2000F286" w14:textId="77777777" w:rsidR="003D3187" w:rsidRDefault="00000000">
            <w:pPr>
              <w:spacing w:after="0" w:line="259" w:lineRule="auto"/>
              <w:ind w:left="0" w:right="57" w:firstLine="0"/>
              <w:jc w:val="right"/>
            </w:pPr>
            <w:r>
              <w:rPr>
                <w:sz w:val="20"/>
              </w:rPr>
              <w:t xml:space="preserve">0.092 </w:t>
            </w:r>
          </w:p>
        </w:tc>
        <w:tc>
          <w:tcPr>
            <w:tcW w:w="1099" w:type="dxa"/>
            <w:tcBorders>
              <w:top w:val="nil"/>
              <w:left w:val="single" w:sz="4" w:space="0" w:color="000000"/>
              <w:bottom w:val="nil"/>
              <w:right w:val="single" w:sz="4" w:space="0" w:color="000000"/>
            </w:tcBorders>
          </w:tcPr>
          <w:p w14:paraId="5F64C509" w14:textId="77777777" w:rsidR="003D3187" w:rsidRDefault="00000000">
            <w:pPr>
              <w:spacing w:after="0" w:line="259" w:lineRule="auto"/>
              <w:ind w:left="0" w:right="57" w:firstLine="0"/>
              <w:jc w:val="right"/>
            </w:pPr>
            <w:r>
              <w:rPr>
                <w:sz w:val="20"/>
              </w:rPr>
              <w:t xml:space="preserve">0.071 </w:t>
            </w:r>
          </w:p>
        </w:tc>
        <w:tc>
          <w:tcPr>
            <w:tcW w:w="1098" w:type="dxa"/>
            <w:tcBorders>
              <w:top w:val="nil"/>
              <w:left w:val="single" w:sz="4" w:space="0" w:color="000000"/>
              <w:bottom w:val="nil"/>
              <w:right w:val="single" w:sz="4" w:space="0" w:color="000000"/>
            </w:tcBorders>
          </w:tcPr>
          <w:p w14:paraId="37E7D99D" w14:textId="77777777" w:rsidR="003D3187" w:rsidRDefault="00000000">
            <w:pPr>
              <w:spacing w:after="0" w:line="259" w:lineRule="auto"/>
              <w:ind w:left="0" w:right="57" w:firstLine="0"/>
              <w:jc w:val="right"/>
            </w:pPr>
            <w:r>
              <w:rPr>
                <w:sz w:val="20"/>
              </w:rPr>
              <w:t xml:space="preserve">0.000 </w:t>
            </w:r>
          </w:p>
        </w:tc>
        <w:tc>
          <w:tcPr>
            <w:tcW w:w="1099" w:type="dxa"/>
            <w:tcBorders>
              <w:top w:val="nil"/>
              <w:left w:val="single" w:sz="4" w:space="0" w:color="000000"/>
              <w:bottom w:val="nil"/>
              <w:right w:val="single" w:sz="4" w:space="0" w:color="000000"/>
            </w:tcBorders>
          </w:tcPr>
          <w:p w14:paraId="549432BA" w14:textId="77777777" w:rsidR="003D3187" w:rsidRDefault="00000000">
            <w:pPr>
              <w:spacing w:after="0" w:line="259" w:lineRule="auto"/>
              <w:ind w:left="0" w:right="57" w:firstLine="0"/>
              <w:jc w:val="right"/>
            </w:pPr>
            <w:r>
              <w:rPr>
                <w:sz w:val="20"/>
              </w:rPr>
              <w:t xml:space="preserve">0.000 </w:t>
            </w:r>
          </w:p>
        </w:tc>
        <w:tc>
          <w:tcPr>
            <w:tcW w:w="1294" w:type="dxa"/>
            <w:tcBorders>
              <w:top w:val="nil"/>
              <w:left w:val="single" w:sz="4" w:space="0" w:color="000000"/>
              <w:bottom w:val="nil"/>
              <w:right w:val="single" w:sz="4" w:space="0" w:color="000000"/>
            </w:tcBorders>
          </w:tcPr>
          <w:p w14:paraId="546AE97A" w14:textId="77777777" w:rsidR="003D3187" w:rsidRDefault="00000000">
            <w:pPr>
              <w:spacing w:after="0" w:line="259" w:lineRule="auto"/>
              <w:ind w:left="0" w:right="56" w:firstLine="0"/>
              <w:jc w:val="right"/>
            </w:pPr>
            <w:r>
              <w:rPr>
                <w:sz w:val="20"/>
              </w:rPr>
              <w:t xml:space="preserve">0.162 </w:t>
            </w:r>
          </w:p>
        </w:tc>
      </w:tr>
      <w:tr w:rsidR="003D3187" w14:paraId="310A1716" w14:textId="77777777">
        <w:trPr>
          <w:trHeight w:val="272"/>
        </w:trPr>
        <w:tc>
          <w:tcPr>
            <w:tcW w:w="2972" w:type="dxa"/>
            <w:tcBorders>
              <w:top w:val="nil"/>
              <w:left w:val="single" w:sz="4" w:space="0" w:color="000000"/>
              <w:bottom w:val="single" w:sz="4" w:space="0" w:color="000000"/>
              <w:right w:val="single" w:sz="4" w:space="0" w:color="000000"/>
            </w:tcBorders>
          </w:tcPr>
          <w:p w14:paraId="24442076" w14:textId="77777777" w:rsidR="003D3187" w:rsidRDefault="00000000">
            <w:pPr>
              <w:spacing w:after="0" w:line="259" w:lineRule="auto"/>
              <w:ind w:left="0" w:firstLine="0"/>
            </w:pPr>
            <w:r>
              <w:rPr>
                <w:sz w:val="20"/>
              </w:rPr>
              <w:t xml:space="preserve">Corporate </w:t>
            </w:r>
          </w:p>
        </w:tc>
        <w:tc>
          <w:tcPr>
            <w:tcW w:w="1097" w:type="dxa"/>
            <w:tcBorders>
              <w:top w:val="nil"/>
              <w:left w:val="single" w:sz="4" w:space="0" w:color="000000"/>
              <w:bottom w:val="single" w:sz="4" w:space="0" w:color="000000"/>
              <w:right w:val="single" w:sz="4" w:space="0" w:color="000000"/>
            </w:tcBorders>
          </w:tcPr>
          <w:p w14:paraId="649E1513" w14:textId="77777777" w:rsidR="003D3187" w:rsidRDefault="00000000">
            <w:pPr>
              <w:spacing w:after="0" w:line="259" w:lineRule="auto"/>
              <w:ind w:left="0" w:right="57" w:firstLine="0"/>
              <w:jc w:val="right"/>
            </w:pPr>
            <w:r>
              <w:rPr>
                <w:sz w:val="20"/>
              </w:rPr>
              <w:t xml:space="preserve">26.445 </w:t>
            </w:r>
          </w:p>
        </w:tc>
        <w:tc>
          <w:tcPr>
            <w:tcW w:w="1099" w:type="dxa"/>
            <w:tcBorders>
              <w:top w:val="nil"/>
              <w:left w:val="single" w:sz="4" w:space="0" w:color="000000"/>
              <w:bottom w:val="single" w:sz="4" w:space="0" w:color="000000"/>
              <w:right w:val="single" w:sz="4" w:space="0" w:color="000000"/>
            </w:tcBorders>
          </w:tcPr>
          <w:p w14:paraId="1F9B5B50" w14:textId="77777777" w:rsidR="003D3187" w:rsidRDefault="00000000">
            <w:pPr>
              <w:spacing w:after="0" w:line="259" w:lineRule="auto"/>
              <w:ind w:left="0" w:right="57" w:firstLine="0"/>
              <w:jc w:val="right"/>
            </w:pPr>
            <w:r>
              <w:rPr>
                <w:sz w:val="20"/>
              </w:rPr>
              <w:t xml:space="preserve">11.151 </w:t>
            </w:r>
          </w:p>
        </w:tc>
        <w:tc>
          <w:tcPr>
            <w:tcW w:w="1098" w:type="dxa"/>
            <w:tcBorders>
              <w:top w:val="nil"/>
              <w:left w:val="single" w:sz="4" w:space="0" w:color="000000"/>
              <w:bottom w:val="single" w:sz="4" w:space="0" w:color="000000"/>
              <w:right w:val="single" w:sz="4" w:space="0" w:color="000000"/>
            </w:tcBorders>
          </w:tcPr>
          <w:p w14:paraId="260AC4A3" w14:textId="77777777" w:rsidR="003D3187" w:rsidRDefault="00000000">
            <w:pPr>
              <w:spacing w:after="0" w:line="259" w:lineRule="auto"/>
              <w:ind w:left="0" w:right="57" w:firstLine="0"/>
              <w:jc w:val="right"/>
            </w:pPr>
            <w:r>
              <w:rPr>
                <w:sz w:val="20"/>
              </w:rPr>
              <w:t xml:space="preserve">12.269 </w:t>
            </w:r>
          </w:p>
        </w:tc>
        <w:tc>
          <w:tcPr>
            <w:tcW w:w="1099" w:type="dxa"/>
            <w:tcBorders>
              <w:top w:val="nil"/>
              <w:left w:val="single" w:sz="4" w:space="0" w:color="000000"/>
              <w:bottom w:val="single" w:sz="4" w:space="0" w:color="000000"/>
              <w:right w:val="single" w:sz="4" w:space="0" w:color="000000"/>
            </w:tcBorders>
          </w:tcPr>
          <w:p w14:paraId="06265A04" w14:textId="77777777" w:rsidR="003D3187" w:rsidRDefault="00000000">
            <w:pPr>
              <w:spacing w:after="0" w:line="259" w:lineRule="auto"/>
              <w:ind w:left="0" w:right="57" w:firstLine="0"/>
              <w:jc w:val="right"/>
            </w:pPr>
            <w:r>
              <w:rPr>
                <w:sz w:val="20"/>
              </w:rPr>
              <w:t xml:space="preserve">13.759 </w:t>
            </w:r>
          </w:p>
        </w:tc>
        <w:tc>
          <w:tcPr>
            <w:tcW w:w="1294" w:type="dxa"/>
            <w:tcBorders>
              <w:top w:val="nil"/>
              <w:left w:val="single" w:sz="4" w:space="0" w:color="000000"/>
              <w:bottom w:val="single" w:sz="4" w:space="0" w:color="000000"/>
              <w:right w:val="single" w:sz="4" w:space="0" w:color="000000"/>
            </w:tcBorders>
          </w:tcPr>
          <w:p w14:paraId="0857F2CB" w14:textId="77777777" w:rsidR="003D3187" w:rsidRDefault="00000000">
            <w:pPr>
              <w:spacing w:after="0" w:line="259" w:lineRule="auto"/>
              <w:ind w:left="0" w:right="56" w:firstLine="0"/>
              <w:jc w:val="right"/>
            </w:pPr>
            <w:r>
              <w:rPr>
                <w:sz w:val="20"/>
              </w:rPr>
              <w:t xml:space="preserve">63.624 </w:t>
            </w:r>
          </w:p>
        </w:tc>
      </w:tr>
      <w:tr w:rsidR="003D3187" w14:paraId="04FD7BCD" w14:textId="77777777">
        <w:trPr>
          <w:trHeight w:val="297"/>
        </w:trPr>
        <w:tc>
          <w:tcPr>
            <w:tcW w:w="2972" w:type="dxa"/>
            <w:tcBorders>
              <w:top w:val="single" w:sz="4" w:space="0" w:color="000000"/>
              <w:left w:val="single" w:sz="4" w:space="0" w:color="000000"/>
              <w:bottom w:val="single" w:sz="4" w:space="0" w:color="000000"/>
              <w:right w:val="single" w:sz="4" w:space="0" w:color="000000"/>
            </w:tcBorders>
            <w:shd w:val="clear" w:color="auto" w:fill="B5E6A2"/>
          </w:tcPr>
          <w:p w14:paraId="6B246974" w14:textId="77777777" w:rsidR="003D3187" w:rsidRDefault="00000000">
            <w:pPr>
              <w:spacing w:after="0" w:line="259" w:lineRule="auto"/>
              <w:ind w:left="0" w:firstLine="0"/>
            </w:pPr>
            <w:r>
              <w:rPr>
                <w:b/>
                <w:sz w:val="20"/>
              </w:rPr>
              <w:t xml:space="preserve">Projected Budget </w:t>
            </w:r>
          </w:p>
        </w:tc>
        <w:tc>
          <w:tcPr>
            <w:tcW w:w="1097" w:type="dxa"/>
            <w:tcBorders>
              <w:top w:val="single" w:sz="4" w:space="0" w:color="000000"/>
              <w:left w:val="single" w:sz="4" w:space="0" w:color="000000"/>
              <w:bottom w:val="single" w:sz="4" w:space="0" w:color="000000"/>
              <w:right w:val="single" w:sz="4" w:space="0" w:color="000000"/>
            </w:tcBorders>
            <w:shd w:val="clear" w:color="auto" w:fill="B5E6A2"/>
          </w:tcPr>
          <w:p w14:paraId="6EEE6566" w14:textId="77777777" w:rsidR="003D3187" w:rsidRDefault="00000000">
            <w:pPr>
              <w:spacing w:after="0" w:line="259" w:lineRule="auto"/>
              <w:ind w:left="0" w:right="57" w:firstLine="0"/>
              <w:jc w:val="right"/>
            </w:pPr>
            <w:r>
              <w:rPr>
                <w:b/>
                <w:sz w:val="20"/>
              </w:rPr>
              <w:t xml:space="preserve">71.224 </w:t>
            </w:r>
          </w:p>
        </w:tc>
        <w:tc>
          <w:tcPr>
            <w:tcW w:w="1099" w:type="dxa"/>
            <w:tcBorders>
              <w:top w:val="single" w:sz="4" w:space="0" w:color="000000"/>
              <w:left w:val="single" w:sz="4" w:space="0" w:color="000000"/>
              <w:bottom w:val="single" w:sz="4" w:space="0" w:color="000000"/>
              <w:right w:val="single" w:sz="4" w:space="0" w:color="000000"/>
            </w:tcBorders>
            <w:shd w:val="clear" w:color="auto" w:fill="B5E6A2"/>
          </w:tcPr>
          <w:p w14:paraId="4AB4E760" w14:textId="77777777" w:rsidR="003D3187" w:rsidRDefault="00000000">
            <w:pPr>
              <w:spacing w:after="0" w:line="259" w:lineRule="auto"/>
              <w:ind w:left="0" w:right="57" w:firstLine="0"/>
              <w:jc w:val="right"/>
            </w:pPr>
            <w:r>
              <w:rPr>
                <w:b/>
                <w:sz w:val="20"/>
              </w:rPr>
              <w:t xml:space="preserve">17.959 </w:t>
            </w:r>
          </w:p>
        </w:tc>
        <w:tc>
          <w:tcPr>
            <w:tcW w:w="1098" w:type="dxa"/>
            <w:tcBorders>
              <w:top w:val="single" w:sz="4" w:space="0" w:color="000000"/>
              <w:left w:val="single" w:sz="4" w:space="0" w:color="000000"/>
              <w:bottom w:val="single" w:sz="4" w:space="0" w:color="000000"/>
              <w:right w:val="single" w:sz="4" w:space="0" w:color="000000"/>
            </w:tcBorders>
            <w:shd w:val="clear" w:color="auto" w:fill="B5E6A2"/>
          </w:tcPr>
          <w:p w14:paraId="191D2851" w14:textId="77777777" w:rsidR="003D3187" w:rsidRDefault="00000000">
            <w:pPr>
              <w:spacing w:after="0" w:line="259" w:lineRule="auto"/>
              <w:ind w:left="0" w:right="57" w:firstLine="0"/>
              <w:jc w:val="right"/>
            </w:pPr>
            <w:r>
              <w:rPr>
                <w:b/>
                <w:sz w:val="20"/>
              </w:rPr>
              <w:t xml:space="preserve">20.985 </w:t>
            </w:r>
          </w:p>
        </w:tc>
        <w:tc>
          <w:tcPr>
            <w:tcW w:w="1099" w:type="dxa"/>
            <w:tcBorders>
              <w:top w:val="single" w:sz="4" w:space="0" w:color="000000"/>
              <w:left w:val="single" w:sz="4" w:space="0" w:color="000000"/>
              <w:bottom w:val="single" w:sz="4" w:space="0" w:color="000000"/>
              <w:right w:val="single" w:sz="4" w:space="0" w:color="000000"/>
            </w:tcBorders>
            <w:shd w:val="clear" w:color="auto" w:fill="B5E6A2"/>
          </w:tcPr>
          <w:p w14:paraId="0EA0681F" w14:textId="77777777" w:rsidR="003D3187" w:rsidRDefault="00000000">
            <w:pPr>
              <w:spacing w:after="0" w:line="259" w:lineRule="auto"/>
              <w:ind w:left="0" w:right="57" w:firstLine="0"/>
              <w:jc w:val="right"/>
            </w:pPr>
            <w:r>
              <w:rPr>
                <w:b/>
                <w:sz w:val="20"/>
              </w:rPr>
              <w:t xml:space="preserve">24.023 </w:t>
            </w:r>
          </w:p>
        </w:tc>
        <w:tc>
          <w:tcPr>
            <w:tcW w:w="1294" w:type="dxa"/>
            <w:tcBorders>
              <w:top w:val="single" w:sz="4" w:space="0" w:color="000000"/>
              <w:left w:val="single" w:sz="4" w:space="0" w:color="000000"/>
              <w:bottom w:val="single" w:sz="4" w:space="0" w:color="000000"/>
              <w:right w:val="single" w:sz="4" w:space="0" w:color="000000"/>
            </w:tcBorders>
            <w:shd w:val="clear" w:color="auto" w:fill="B5E6A2"/>
          </w:tcPr>
          <w:p w14:paraId="3AC725AF" w14:textId="77777777" w:rsidR="003D3187" w:rsidRDefault="00000000">
            <w:pPr>
              <w:spacing w:after="0" w:line="259" w:lineRule="auto"/>
              <w:ind w:left="0" w:right="56" w:firstLine="0"/>
              <w:jc w:val="right"/>
            </w:pPr>
            <w:r>
              <w:rPr>
                <w:b/>
                <w:sz w:val="20"/>
              </w:rPr>
              <w:t xml:space="preserve">134.191 </w:t>
            </w:r>
          </w:p>
        </w:tc>
      </w:tr>
      <w:tr w:rsidR="003D3187" w14:paraId="7590F1D0" w14:textId="77777777">
        <w:trPr>
          <w:trHeight w:val="294"/>
        </w:trPr>
        <w:tc>
          <w:tcPr>
            <w:tcW w:w="2972" w:type="dxa"/>
            <w:tcBorders>
              <w:top w:val="single" w:sz="4" w:space="0" w:color="000000"/>
              <w:left w:val="single" w:sz="4" w:space="0" w:color="000000"/>
              <w:bottom w:val="nil"/>
              <w:right w:val="single" w:sz="4" w:space="0" w:color="000000"/>
            </w:tcBorders>
            <w:shd w:val="clear" w:color="auto" w:fill="FFFFFF"/>
          </w:tcPr>
          <w:p w14:paraId="0B83170E" w14:textId="77777777" w:rsidR="003D3187" w:rsidRDefault="00000000">
            <w:pPr>
              <w:spacing w:after="0" w:line="259" w:lineRule="auto"/>
              <w:ind w:left="0" w:firstLine="0"/>
            </w:pPr>
            <w:r>
              <w:rPr>
                <w:sz w:val="20"/>
              </w:rPr>
              <w:t xml:space="preserve">Core Funding </w:t>
            </w:r>
          </w:p>
        </w:tc>
        <w:tc>
          <w:tcPr>
            <w:tcW w:w="1097" w:type="dxa"/>
            <w:tcBorders>
              <w:top w:val="single" w:sz="4" w:space="0" w:color="000000"/>
              <w:left w:val="single" w:sz="4" w:space="0" w:color="000000"/>
              <w:bottom w:val="nil"/>
              <w:right w:val="single" w:sz="4" w:space="0" w:color="000000"/>
            </w:tcBorders>
            <w:shd w:val="clear" w:color="auto" w:fill="FFFFFF"/>
          </w:tcPr>
          <w:p w14:paraId="3F1834AD" w14:textId="77777777" w:rsidR="003D3187" w:rsidRDefault="00000000">
            <w:pPr>
              <w:spacing w:after="0" w:line="259" w:lineRule="auto"/>
              <w:ind w:left="0" w:right="57" w:firstLine="0"/>
              <w:jc w:val="right"/>
            </w:pPr>
            <w:r>
              <w:rPr>
                <w:sz w:val="20"/>
              </w:rPr>
              <w:t xml:space="preserve">(93.019) </w:t>
            </w:r>
          </w:p>
        </w:tc>
        <w:tc>
          <w:tcPr>
            <w:tcW w:w="1099" w:type="dxa"/>
            <w:tcBorders>
              <w:top w:val="single" w:sz="4" w:space="0" w:color="000000"/>
              <w:left w:val="single" w:sz="4" w:space="0" w:color="000000"/>
              <w:bottom w:val="nil"/>
              <w:right w:val="single" w:sz="4" w:space="0" w:color="000000"/>
            </w:tcBorders>
            <w:shd w:val="clear" w:color="auto" w:fill="FFFFFF"/>
          </w:tcPr>
          <w:p w14:paraId="1EA99A5B" w14:textId="77777777" w:rsidR="003D3187" w:rsidRDefault="00000000">
            <w:pPr>
              <w:spacing w:after="0" w:line="259" w:lineRule="auto"/>
              <w:ind w:left="0" w:right="57" w:firstLine="0"/>
              <w:jc w:val="right"/>
            </w:pPr>
            <w:r>
              <w:rPr>
                <w:sz w:val="20"/>
              </w:rPr>
              <w:t xml:space="preserve">(20.243) </w:t>
            </w:r>
          </w:p>
        </w:tc>
        <w:tc>
          <w:tcPr>
            <w:tcW w:w="1098" w:type="dxa"/>
            <w:tcBorders>
              <w:top w:val="single" w:sz="4" w:space="0" w:color="000000"/>
              <w:left w:val="single" w:sz="4" w:space="0" w:color="000000"/>
              <w:bottom w:val="nil"/>
              <w:right w:val="single" w:sz="4" w:space="0" w:color="000000"/>
            </w:tcBorders>
            <w:shd w:val="clear" w:color="auto" w:fill="FFFFFF"/>
          </w:tcPr>
          <w:p w14:paraId="6B934FCD" w14:textId="77777777" w:rsidR="003D3187" w:rsidRDefault="00000000">
            <w:pPr>
              <w:spacing w:after="0" w:line="259" w:lineRule="auto"/>
              <w:ind w:left="0" w:right="57" w:firstLine="0"/>
              <w:jc w:val="right"/>
            </w:pPr>
            <w:r>
              <w:rPr>
                <w:sz w:val="20"/>
              </w:rPr>
              <w:t xml:space="preserve">(20.889) </w:t>
            </w:r>
          </w:p>
        </w:tc>
        <w:tc>
          <w:tcPr>
            <w:tcW w:w="1099" w:type="dxa"/>
            <w:tcBorders>
              <w:top w:val="single" w:sz="4" w:space="0" w:color="000000"/>
              <w:left w:val="single" w:sz="4" w:space="0" w:color="000000"/>
              <w:bottom w:val="nil"/>
              <w:right w:val="single" w:sz="4" w:space="0" w:color="000000"/>
            </w:tcBorders>
            <w:shd w:val="clear" w:color="auto" w:fill="FFFFFF"/>
          </w:tcPr>
          <w:p w14:paraId="0D6954E6" w14:textId="77777777" w:rsidR="003D3187" w:rsidRDefault="00000000">
            <w:pPr>
              <w:spacing w:after="0" w:line="259" w:lineRule="auto"/>
              <w:ind w:left="0" w:right="57" w:firstLine="0"/>
              <w:jc w:val="right"/>
            </w:pPr>
            <w:r>
              <w:rPr>
                <w:sz w:val="20"/>
              </w:rPr>
              <w:t xml:space="preserve">(6.041) </w:t>
            </w:r>
          </w:p>
        </w:tc>
        <w:tc>
          <w:tcPr>
            <w:tcW w:w="1294" w:type="dxa"/>
            <w:tcBorders>
              <w:top w:val="single" w:sz="4" w:space="0" w:color="000000"/>
              <w:left w:val="single" w:sz="4" w:space="0" w:color="000000"/>
              <w:bottom w:val="nil"/>
              <w:right w:val="single" w:sz="4" w:space="0" w:color="000000"/>
            </w:tcBorders>
            <w:shd w:val="clear" w:color="auto" w:fill="FFFFFF"/>
          </w:tcPr>
          <w:p w14:paraId="1CEAC4E9" w14:textId="77777777" w:rsidR="003D3187" w:rsidRDefault="00000000">
            <w:pPr>
              <w:spacing w:after="0" w:line="259" w:lineRule="auto"/>
              <w:ind w:left="0" w:right="56" w:firstLine="0"/>
              <w:jc w:val="right"/>
            </w:pPr>
            <w:r>
              <w:rPr>
                <w:sz w:val="20"/>
              </w:rPr>
              <w:t xml:space="preserve">(140.192) </w:t>
            </w:r>
          </w:p>
        </w:tc>
      </w:tr>
      <w:tr w:rsidR="003D3187" w14:paraId="057BB813" w14:textId="77777777">
        <w:trPr>
          <w:trHeight w:val="293"/>
        </w:trPr>
        <w:tc>
          <w:tcPr>
            <w:tcW w:w="2972" w:type="dxa"/>
            <w:tcBorders>
              <w:top w:val="nil"/>
              <w:left w:val="single" w:sz="4" w:space="0" w:color="000000"/>
              <w:bottom w:val="single" w:sz="4" w:space="0" w:color="000000"/>
              <w:right w:val="single" w:sz="4" w:space="0" w:color="000000"/>
            </w:tcBorders>
          </w:tcPr>
          <w:p w14:paraId="5499AA3A" w14:textId="77777777" w:rsidR="003D3187" w:rsidRDefault="00000000">
            <w:pPr>
              <w:spacing w:after="0" w:line="259" w:lineRule="auto"/>
              <w:ind w:left="0" w:firstLine="0"/>
            </w:pPr>
            <w:r>
              <w:rPr>
                <w:sz w:val="20"/>
              </w:rPr>
              <w:t xml:space="preserve">Exceptional Financial Support </w:t>
            </w:r>
          </w:p>
        </w:tc>
        <w:tc>
          <w:tcPr>
            <w:tcW w:w="1097" w:type="dxa"/>
            <w:tcBorders>
              <w:top w:val="nil"/>
              <w:left w:val="single" w:sz="4" w:space="0" w:color="000000"/>
              <w:bottom w:val="single" w:sz="4" w:space="0" w:color="000000"/>
              <w:right w:val="single" w:sz="4" w:space="0" w:color="000000"/>
            </w:tcBorders>
          </w:tcPr>
          <w:p w14:paraId="2624620A" w14:textId="77777777" w:rsidR="003D3187" w:rsidRDefault="00000000">
            <w:pPr>
              <w:spacing w:after="0" w:line="259" w:lineRule="auto"/>
              <w:ind w:left="0" w:right="57" w:firstLine="0"/>
              <w:jc w:val="right"/>
            </w:pPr>
            <w:r>
              <w:rPr>
                <w:sz w:val="20"/>
              </w:rPr>
              <w:t xml:space="preserve">20.793 </w:t>
            </w:r>
          </w:p>
        </w:tc>
        <w:tc>
          <w:tcPr>
            <w:tcW w:w="1099" w:type="dxa"/>
            <w:tcBorders>
              <w:top w:val="nil"/>
              <w:left w:val="single" w:sz="4" w:space="0" w:color="000000"/>
              <w:bottom w:val="single" w:sz="4" w:space="0" w:color="000000"/>
              <w:right w:val="single" w:sz="4" w:space="0" w:color="000000"/>
            </w:tcBorders>
          </w:tcPr>
          <w:p w14:paraId="5CD1F3D8" w14:textId="77777777" w:rsidR="003D3187" w:rsidRDefault="00000000">
            <w:pPr>
              <w:spacing w:after="0" w:line="259" w:lineRule="auto"/>
              <w:ind w:left="0" w:right="57" w:firstLine="0"/>
              <w:jc w:val="right"/>
            </w:pPr>
            <w:r>
              <w:rPr>
                <w:sz w:val="20"/>
              </w:rPr>
              <w:t xml:space="preserve">0.000 </w:t>
            </w:r>
          </w:p>
        </w:tc>
        <w:tc>
          <w:tcPr>
            <w:tcW w:w="1098" w:type="dxa"/>
            <w:tcBorders>
              <w:top w:val="nil"/>
              <w:left w:val="single" w:sz="4" w:space="0" w:color="000000"/>
              <w:bottom w:val="single" w:sz="4" w:space="0" w:color="000000"/>
              <w:right w:val="single" w:sz="4" w:space="0" w:color="000000"/>
            </w:tcBorders>
          </w:tcPr>
          <w:p w14:paraId="7D8499FB" w14:textId="77777777" w:rsidR="003D3187" w:rsidRDefault="00000000">
            <w:pPr>
              <w:spacing w:after="0" w:line="259" w:lineRule="auto"/>
              <w:ind w:left="0" w:right="57" w:firstLine="0"/>
              <w:jc w:val="right"/>
            </w:pPr>
            <w:r>
              <w:rPr>
                <w:sz w:val="20"/>
              </w:rPr>
              <w:t xml:space="preserve">0.000 </w:t>
            </w:r>
          </w:p>
        </w:tc>
        <w:tc>
          <w:tcPr>
            <w:tcW w:w="1099" w:type="dxa"/>
            <w:tcBorders>
              <w:top w:val="nil"/>
              <w:left w:val="single" w:sz="4" w:space="0" w:color="000000"/>
              <w:bottom w:val="single" w:sz="4" w:space="0" w:color="000000"/>
              <w:right w:val="single" w:sz="4" w:space="0" w:color="000000"/>
            </w:tcBorders>
          </w:tcPr>
          <w:p w14:paraId="63141D54" w14:textId="77777777" w:rsidR="003D3187" w:rsidRDefault="00000000">
            <w:pPr>
              <w:spacing w:after="0" w:line="259" w:lineRule="auto"/>
              <w:ind w:left="0" w:right="57" w:firstLine="0"/>
              <w:jc w:val="right"/>
            </w:pPr>
            <w:r>
              <w:rPr>
                <w:sz w:val="20"/>
              </w:rPr>
              <w:t xml:space="preserve">0.000 </w:t>
            </w:r>
          </w:p>
        </w:tc>
        <w:tc>
          <w:tcPr>
            <w:tcW w:w="1294" w:type="dxa"/>
            <w:tcBorders>
              <w:top w:val="nil"/>
              <w:left w:val="single" w:sz="4" w:space="0" w:color="000000"/>
              <w:bottom w:val="single" w:sz="4" w:space="0" w:color="000000"/>
              <w:right w:val="single" w:sz="4" w:space="0" w:color="000000"/>
            </w:tcBorders>
          </w:tcPr>
          <w:p w14:paraId="15B61621" w14:textId="77777777" w:rsidR="003D3187" w:rsidRDefault="00000000">
            <w:pPr>
              <w:spacing w:after="0" w:line="259" w:lineRule="auto"/>
              <w:ind w:left="0" w:right="56" w:firstLine="0"/>
              <w:jc w:val="right"/>
            </w:pPr>
            <w:r>
              <w:rPr>
                <w:sz w:val="20"/>
              </w:rPr>
              <w:t xml:space="preserve">20.793 </w:t>
            </w:r>
          </w:p>
        </w:tc>
      </w:tr>
      <w:tr w:rsidR="003D3187" w14:paraId="60DD1105" w14:textId="77777777">
        <w:trPr>
          <w:trHeight w:val="297"/>
        </w:trPr>
        <w:tc>
          <w:tcPr>
            <w:tcW w:w="2972" w:type="dxa"/>
            <w:tcBorders>
              <w:top w:val="single" w:sz="4" w:space="0" w:color="000000"/>
              <w:left w:val="single" w:sz="4" w:space="0" w:color="000000"/>
              <w:bottom w:val="single" w:sz="4" w:space="0" w:color="000000"/>
              <w:right w:val="single" w:sz="4" w:space="0" w:color="000000"/>
            </w:tcBorders>
            <w:shd w:val="clear" w:color="auto" w:fill="B5E6A2"/>
          </w:tcPr>
          <w:p w14:paraId="76515A56" w14:textId="77777777" w:rsidR="003D3187" w:rsidRDefault="00000000">
            <w:pPr>
              <w:spacing w:after="0" w:line="259" w:lineRule="auto"/>
              <w:ind w:left="0" w:firstLine="0"/>
            </w:pPr>
            <w:r>
              <w:rPr>
                <w:b/>
                <w:sz w:val="20"/>
              </w:rPr>
              <w:t xml:space="preserve">Outstanding Gap </w:t>
            </w:r>
          </w:p>
        </w:tc>
        <w:tc>
          <w:tcPr>
            <w:tcW w:w="1097" w:type="dxa"/>
            <w:tcBorders>
              <w:top w:val="single" w:sz="4" w:space="0" w:color="000000"/>
              <w:left w:val="single" w:sz="4" w:space="0" w:color="000000"/>
              <w:bottom w:val="single" w:sz="4" w:space="0" w:color="000000"/>
              <w:right w:val="single" w:sz="4" w:space="0" w:color="000000"/>
            </w:tcBorders>
            <w:shd w:val="clear" w:color="auto" w:fill="B5E6A2"/>
          </w:tcPr>
          <w:p w14:paraId="2A03803E" w14:textId="77777777" w:rsidR="003D3187" w:rsidRDefault="00000000">
            <w:pPr>
              <w:spacing w:after="0" w:line="259" w:lineRule="auto"/>
              <w:ind w:left="0" w:right="57" w:firstLine="0"/>
              <w:jc w:val="right"/>
            </w:pPr>
            <w:r>
              <w:rPr>
                <w:b/>
                <w:sz w:val="20"/>
              </w:rPr>
              <w:t xml:space="preserve">(1.002) </w:t>
            </w:r>
          </w:p>
        </w:tc>
        <w:tc>
          <w:tcPr>
            <w:tcW w:w="1099" w:type="dxa"/>
            <w:tcBorders>
              <w:top w:val="single" w:sz="4" w:space="0" w:color="000000"/>
              <w:left w:val="single" w:sz="4" w:space="0" w:color="000000"/>
              <w:bottom w:val="single" w:sz="4" w:space="0" w:color="000000"/>
              <w:right w:val="single" w:sz="4" w:space="0" w:color="000000"/>
            </w:tcBorders>
            <w:shd w:val="clear" w:color="auto" w:fill="B5E6A2"/>
          </w:tcPr>
          <w:p w14:paraId="635B8CAF" w14:textId="77777777" w:rsidR="003D3187" w:rsidRDefault="00000000">
            <w:pPr>
              <w:spacing w:after="0" w:line="259" w:lineRule="auto"/>
              <w:ind w:left="0" w:right="57" w:firstLine="0"/>
              <w:jc w:val="right"/>
            </w:pPr>
            <w:r>
              <w:rPr>
                <w:b/>
                <w:sz w:val="20"/>
              </w:rPr>
              <w:t xml:space="preserve">(2.284) </w:t>
            </w:r>
          </w:p>
        </w:tc>
        <w:tc>
          <w:tcPr>
            <w:tcW w:w="1098" w:type="dxa"/>
            <w:tcBorders>
              <w:top w:val="single" w:sz="4" w:space="0" w:color="000000"/>
              <w:left w:val="single" w:sz="4" w:space="0" w:color="000000"/>
              <w:bottom w:val="single" w:sz="4" w:space="0" w:color="000000"/>
              <w:right w:val="single" w:sz="4" w:space="0" w:color="000000"/>
            </w:tcBorders>
            <w:shd w:val="clear" w:color="auto" w:fill="B5E6A2"/>
          </w:tcPr>
          <w:p w14:paraId="4A30FE53" w14:textId="77777777" w:rsidR="003D3187" w:rsidRDefault="00000000">
            <w:pPr>
              <w:spacing w:after="0" w:line="259" w:lineRule="auto"/>
              <w:ind w:left="0" w:right="57" w:firstLine="0"/>
              <w:jc w:val="right"/>
            </w:pPr>
            <w:r>
              <w:rPr>
                <w:b/>
                <w:sz w:val="20"/>
              </w:rPr>
              <w:t xml:space="preserve">0.096 </w:t>
            </w:r>
          </w:p>
        </w:tc>
        <w:tc>
          <w:tcPr>
            <w:tcW w:w="1099" w:type="dxa"/>
            <w:tcBorders>
              <w:top w:val="single" w:sz="4" w:space="0" w:color="000000"/>
              <w:left w:val="single" w:sz="4" w:space="0" w:color="000000"/>
              <w:bottom w:val="single" w:sz="4" w:space="0" w:color="000000"/>
              <w:right w:val="single" w:sz="4" w:space="0" w:color="000000"/>
            </w:tcBorders>
            <w:shd w:val="clear" w:color="auto" w:fill="B5E6A2"/>
          </w:tcPr>
          <w:p w14:paraId="54998D71" w14:textId="77777777" w:rsidR="003D3187" w:rsidRDefault="00000000">
            <w:pPr>
              <w:spacing w:after="0" w:line="259" w:lineRule="auto"/>
              <w:ind w:left="0" w:right="57" w:firstLine="0"/>
              <w:jc w:val="right"/>
            </w:pPr>
            <w:r>
              <w:rPr>
                <w:b/>
                <w:sz w:val="20"/>
              </w:rPr>
              <w:t xml:space="preserve">17.982 </w:t>
            </w:r>
          </w:p>
        </w:tc>
        <w:tc>
          <w:tcPr>
            <w:tcW w:w="1294" w:type="dxa"/>
            <w:tcBorders>
              <w:top w:val="single" w:sz="4" w:space="0" w:color="000000"/>
              <w:left w:val="single" w:sz="4" w:space="0" w:color="000000"/>
              <w:bottom w:val="single" w:sz="4" w:space="0" w:color="000000"/>
              <w:right w:val="single" w:sz="4" w:space="0" w:color="000000"/>
            </w:tcBorders>
            <w:shd w:val="clear" w:color="auto" w:fill="B5E6A2"/>
          </w:tcPr>
          <w:p w14:paraId="21D41958" w14:textId="77777777" w:rsidR="003D3187" w:rsidRDefault="00000000">
            <w:pPr>
              <w:spacing w:after="0" w:line="259" w:lineRule="auto"/>
              <w:ind w:left="0" w:right="56" w:firstLine="0"/>
              <w:jc w:val="right"/>
            </w:pPr>
            <w:r>
              <w:rPr>
                <w:b/>
                <w:sz w:val="20"/>
              </w:rPr>
              <w:t xml:space="preserve">14.792 </w:t>
            </w:r>
          </w:p>
        </w:tc>
      </w:tr>
    </w:tbl>
    <w:p w14:paraId="1BE2D4AB" w14:textId="77777777" w:rsidR="003D3187" w:rsidRDefault="00000000">
      <w:pPr>
        <w:spacing w:after="0" w:line="259" w:lineRule="auto"/>
        <w:ind w:left="981" w:firstLine="0"/>
      </w:pPr>
      <w:r>
        <w:rPr>
          <w:b/>
        </w:rPr>
        <w:t xml:space="preserve"> </w:t>
      </w:r>
    </w:p>
    <w:p w14:paraId="68057484" w14:textId="77777777" w:rsidR="003D3187" w:rsidRDefault="00000000">
      <w:pPr>
        <w:ind w:left="1336" w:right="450"/>
      </w:pPr>
      <w:r>
        <w:t xml:space="preserve">6.26 As noted previously, the biggest movements in the MTFP relate to the increase in the core funding at the expense of the service specific grants.  This has led to a big growth in Adult Social Care and Children’s Social Care. The growth in Corporate primarily relates to the ending of the separately identified grants that have no conditions but are not part of core funding, as well as the annual pay award. The rest of the movements relate to the various growth and savings items, discussed in the various appendices. </w:t>
      </w:r>
    </w:p>
    <w:p w14:paraId="3453E856" w14:textId="77777777" w:rsidR="003D3187" w:rsidRDefault="00000000">
      <w:pPr>
        <w:spacing w:after="0" w:line="259" w:lineRule="auto"/>
        <w:ind w:left="1134" w:firstLine="0"/>
      </w:pPr>
      <w:r>
        <w:rPr>
          <w:b/>
        </w:rPr>
        <w:t xml:space="preserve"> </w:t>
      </w:r>
    </w:p>
    <w:p w14:paraId="1204F2CD" w14:textId="77777777" w:rsidR="003D3187" w:rsidRDefault="00000000">
      <w:pPr>
        <w:ind w:left="1336" w:right="450"/>
      </w:pPr>
      <w:r>
        <w:t>6.27</w:t>
      </w:r>
      <w:r>
        <w:rPr>
          <w:rFonts w:ascii="Calibri" w:eastAsia="Calibri" w:hAnsi="Calibri" w:cs="Calibri"/>
          <w:sz w:val="22"/>
        </w:rPr>
        <w:t xml:space="preserve"> </w:t>
      </w:r>
      <w:r>
        <w:t>The Reserves position of the Council is a key parameter in the formulation of the full budget setting process. In the interests of complete transparency, the latest reserves position is outlined below. Movement within the current financial year will be reflecting with the final 2026/27 budget modelling. There are no indications that the quantum positions will materially change in a way that will affect final budget decisions as, effectively, the current EFS application does not require any movements to fund net expenditure within current plans.</w:t>
      </w:r>
      <w:r>
        <w:rPr>
          <w:rFonts w:ascii="Calibri" w:eastAsia="Calibri" w:hAnsi="Calibri" w:cs="Calibri"/>
          <w:sz w:val="22"/>
        </w:rPr>
        <w:t xml:space="preserve"> </w:t>
      </w:r>
    </w:p>
    <w:p w14:paraId="62E367DB" w14:textId="77777777" w:rsidR="003D3187" w:rsidRDefault="00000000">
      <w:pPr>
        <w:pStyle w:val="Heading1"/>
        <w:ind w:left="976" w:right="533"/>
      </w:pPr>
      <w:r>
        <w:t xml:space="preserve">Table 9: Reserve Position - 2024/25 </w:t>
      </w:r>
    </w:p>
    <w:p w14:paraId="49141E0A" w14:textId="77777777" w:rsidR="003D3187" w:rsidRDefault="00000000">
      <w:pPr>
        <w:spacing w:after="0" w:line="259" w:lineRule="auto"/>
        <w:ind w:left="1344" w:firstLine="0"/>
      </w:pPr>
      <w:r>
        <w:rPr>
          <w:rFonts w:ascii="Calibri" w:eastAsia="Calibri" w:hAnsi="Calibri" w:cs="Calibri"/>
          <w:sz w:val="22"/>
        </w:rPr>
        <w:t xml:space="preserve"> </w:t>
      </w:r>
    </w:p>
    <w:tbl>
      <w:tblPr>
        <w:tblStyle w:val="TableGrid"/>
        <w:tblW w:w="7223" w:type="dxa"/>
        <w:tblInd w:w="987" w:type="dxa"/>
        <w:tblCellMar>
          <w:top w:w="32" w:type="dxa"/>
          <w:left w:w="56" w:type="dxa"/>
          <w:bottom w:w="0" w:type="dxa"/>
          <w:right w:w="0" w:type="dxa"/>
        </w:tblCellMar>
        <w:tblLook w:val="04A0" w:firstRow="1" w:lastRow="0" w:firstColumn="1" w:lastColumn="0" w:noHBand="0" w:noVBand="1"/>
      </w:tblPr>
      <w:tblGrid>
        <w:gridCol w:w="5522"/>
        <w:gridCol w:w="1701"/>
      </w:tblGrid>
      <w:tr w:rsidR="003D3187" w14:paraId="038B5047" w14:textId="77777777">
        <w:trPr>
          <w:trHeight w:val="655"/>
        </w:trPr>
        <w:tc>
          <w:tcPr>
            <w:tcW w:w="5522"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23D14B8A" w14:textId="77777777" w:rsidR="003D3187" w:rsidRDefault="00000000">
            <w:pPr>
              <w:spacing w:after="0" w:line="259" w:lineRule="auto"/>
              <w:ind w:left="0" w:firstLine="0"/>
            </w:pPr>
            <w:r>
              <w:rPr>
                <w:b/>
                <w:sz w:val="22"/>
              </w:rPr>
              <w:t xml:space="preserve">Reserve Category </w:t>
            </w:r>
          </w:p>
        </w:tc>
        <w:tc>
          <w:tcPr>
            <w:tcW w:w="1701" w:type="dxa"/>
            <w:tcBorders>
              <w:top w:val="single" w:sz="4" w:space="0" w:color="000000"/>
              <w:left w:val="single" w:sz="4" w:space="0" w:color="000000"/>
              <w:bottom w:val="single" w:sz="4" w:space="0" w:color="000000"/>
              <w:right w:val="single" w:sz="4" w:space="0" w:color="000000"/>
            </w:tcBorders>
            <w:shd w:val="clear" w:color="auto" w:fill="B5E6A2"/>
          </w:tcPr>
          <w:p w14:paraId="2F4BA1CF" w14:textId="77777777" w:rsidR="003D3187" w:rsidRDefault="00000000">
            <w:pPr>
              <w:spacing w:after="0" w:line="259" w:lineRule="auto"/>
              <w:ind w:left="0" w:right="56" w:firstLine="0"/>
              <w:jc w:val="right"/>
            </w:pPr>
            <w:r>
              <w:rPr>
                <w:b/>
                <w:sz w:val="22"/>
              </w:rPr>
              <w:t xml:space="preserve">31 March 2025 £m </w:t>
            </w:r>
          </w:p>
        </w:tc>
      </w:tr>
      <w:tr w:rsidR="003D3187" w14:paraId="163EA7F7" w14:textId="77777777">
        <w:trPr>
          <w:trHeight w:val="294"/>
        </w:trPr>
        <w:tc>
          <w:tcPr>
            <w:tcW w:w="5522" w:type="dxa"/>
            <w:tcBorders>
              <w:top w:val="single" w:sz="4" w:space="0" w:color="000000"/>
              <w:left w:val="single" w:sz="4" w:space="0" w:color="000000"/>
              <w:bottom w:val="nil"/>
              <w:right w:val="single" w:sz="4" w:space="0" w:color="000000"/>
            </w:tcBorders>
            <w:shd w:val="clear" w:color="auto" w:fill="FFFFFF"/>
          </w:tcPr>
          <w:p w14:paraId="1293719D" w14:textId="77777777" w:rsidR="003D3187" w:rsidRDefault="00000000">
            <w:pPr>
              <w:spacing w:after="0" w:line="259" w:lineRule="auto"/>
              <w:ind w:left="0" w:firstLine="0"/>
            </w:pPr>
            <w:r>
              <w:rPr>
                <w:sz w:val="22"/>
              </w:rPr>
              <w:t xml:space="preserve">General Fund </w:t>
            </w:r>
          </w:p>
        </w:tc>
        <w:tc>
          <w:tcPr>
            <w:tcW w:w="1701" w:type="dxa"/>
            <w:tcBorders>
              <w:top w:val="single" w:sz="4" w:space="0" w:color="000000"/>
              <w:left w:val="single" w:sz="4" w:space="0" w:color="000000"/>
              <w:bottom w:val="nil"/>
              <w:right w:val="single" w:sz="4" w:space="0" w:color="000000"/>
            </w:tcBorders>
            <w:shd w:val="clear" w:color="auto" w:fill="FFFFFF"/>
          </w:tcPr>
          <w:p w14:paraId="3D7A41E4" w14:textId="77777777" w:rsidR="003D3187" w:rsidRDefault="00000000">
            <w:pPr>
              <w:spacing w:after="0" w:line="259" w:lineRule="auto"/>
              <w:ind w:left="0" w:right="56" w:firstLine="0"/>
              <w:jc w:val="right"/>
            </w:pPr>
            <w:r>
              <w:rPr>
                <w:sz w:val="22"/>
              </w:rPr>
              <w:t xml:space="preserve">(63.540) </w:t>
            </w:r>
          </w:p>
        </w:tc>
      </w:tr>
      <w:tr w:rsidR="003D3187" w14:paraId="0CAF4D0D" w14:textId="77777777">
        <w:trPr>
          <w:trHeight w:val="330"/>
        </w:trPr>
        <w:tc>
          <w:tcPr>
            <w:tcW w:w="5522" w:type="dxa"/>
            <w:tcBorders>
              <w:top w:val="nil"/>
              <w:left w:val="single" w:sz="4" w:space="0" w:color="000000"/>
              <w:bottom w:val="nil"/>
              <w:right w:val="single" w:sz="4" w:space="0" w:color="000000"/>
            </w:tcBorders>
          </w:tcPr>
          <w:p w14:paraId="7CBE63ED" w14:textId="77777777" w:rsidR="003D3187" w:rsidRDefault="00000000">
            <w:pPr>
              <w:spacing w:after="0" w:line="259" w:lineRule="auto"/>
              <w:ind w:left="0" w:firstLine="0"/>
            </w:pPr>
            <w:r>
              <w:rPr>
                <w:sz w:val="22"/>
              </w:rPr>
              <w:t xml:space="preserve">Earmarked General Fund Reserves </w:t>
            </w:r>
          </w:p>
        </w:tc>
        <w:tc>
          <w:tcPr>
            <w:tcW w:w="1701" w:type="dxa"/>
            <w:tcBorders>
              <w:top w:val="nil"/>
              <w:left w:val="single" w:sz="4" w:space="0" w:color="000000"/>
              <w:bottom w:val="nil"/>
              <w:right w:val="single" w:sz="4" w:space="0" w:color="000000"/>
            </w:tcBorders>
          </w:tcPr>
          <w:p w14:paraId="2F0C79F4" w14:textId="77777777" w:rsidR="003D3187" w:rsidRDefault="00000000">
            <w:pPr>
              <w:spacing w:after="0" w:line="259" w:lineRule="auto"/>
              <w:ind w:left="0" w:right="56" w:firstLine="0"/>
              <w:jc w:val="right"/>
            </w:pPr>
            <w:r>
              <w:rPr>
                <w:sz w:val="22"/>
              </w:rPr>
              <w:t xml:space="preserve">(192.514) </w:t>
            </w:r>
          </w:p>
        </w:tc>
      </w:tr>
      <w:tr w:rsidR="003D3187" w14:paraId="633E1F1F" w14:textId="77777777">
        <w:trPr>
          <w:trHeight w:val="288"/>
        </w:trPr>
        <w:tc>
          <w:tcPr>
            <w:tcW w:w="5522" w:type="dxa"/>
            <w:tcBorders>
              <w:top w:val="nil"/>
              <w:left w:val="single" w:sz="4" w:space="0" w:color="000000"/>
              <w:bottom w:val="nil"/>
              <w:right w:val="single" w:sz="4" w:space="0" w:color="000000"/>
            </w:tcBorders>
          </w:tcPr>
          <w:p w14:paraId="3C2BA32C" w14:textId="77777777" w:rsidR="003D3187" w:rsidRDefault="00000000">
            <w:pPr>
              <w:spacing w:after="0" w:line="259" w:lineRule="auto"/>
              <w:ind w:left="0" w:firstLine="0"/>
            </w:pPr>
            <w:r>
              <w:rPr>
                <w:sz w:val="22"/>
              </w:rPr>
              <w:t xml:space="preserve">HRA </w:t>
            </w:r>
          </w:p>
        </w:tc>
        <w:tc>
          <w:tcPr>
            <w:tcW w:w="1701" w:type="dxa"/>
            <w:tcBorders>
              <w:top w:val="nil"/>
              <w:left w:val="single" w:sz="4" w:space="0" w:color="000000"/>
              <w:bottom w:val="nil"/>
              <w:right w:val="single" w:sz="4" w:space="0" w:color="000000"/>
            </w:tcBorders>
          </w:tcPr>
          <w:p w14:paraId="711F9258" w14:textId="77777777" w:rsidR="003D3187" w:rsidRDefault="00000000">
            <w:pPr>
              <w:spacing w:after="0" w:line="259" w:lineRule="auto"/>
              <w:ind w:left="0" w:right="56" w:firstLine="0"/>
              <w:jc w:val="right"/>
            </w:pPr>
            <w:r>
              <w:rPr>
                <w:sz w:val="22"/>
              </w:rPr>
              <w:t xml:space="preserve">(76.661) </w:t>
            </w:r>
          </w:p>
        </w:tc>
      </w:tr>
      <w:tr w:rsidR="003D3187" w14:paraId="1C0A790B" w14:textId="77777777">
        <w:trPr>
          <w:trHeight w:val="288"/>
        </w:trPr>
        <w:tc>
          <w:tcPr>
            <w:tcW w:w="5522" w:type="dxa"/>
            <w:tcBorders>
              <w:top w:val="nil"/>
              <w:left w:val="single" w:sz="4" w:space="0" w:color="000000"/>
              <w:bottom w:val="nil"/>
              <w:right w:val="single" w:sz="4" w:space="0" w:color="000000"/>
            </w:tcBorders>
          </w:tcPr>
          <w:p w14:paraId="613CCA7E" w14:textId="77777777" w:rsidR="003D3187" w:rsidRDefault="00000000">
            <w:pPr>
              <w:spacing w:after="0" w:line="259" w:lineRule="auto"/>
              <w:ind w:left="0" w:firstLine="0"/>
            </w:pPr>
            <w:r>
              <w:rPr>
                <w:sz w:val="22"/>
              </w:rPr>
              <w:t xml:space="preserve">HRA Earmarked Reserves </w:t>
            </w:r>
          </w:p>
        </w:tc>
        <w:tc>
          <w:tcPr>
            <w:tcW w:w="1701" w:type="dxa"/>
            <w:tcBorders>
              <w:top w:val="nil"/>
              <w:left w:val="single" w:sz="4" w:space="0" w:color="000000"/>
              <w:bottom w:val="nil"/>
              <w:right w:val="single" w:sz="4" w:space="0" w:color="000000"/>
            </w:tcBorders>
          </w:tcPr>
          <w:p w14:paraId="743122A1" w14:textId="77777777" w:rsidR="003D3187" w:rsidRDefault="00000000">
            <w:pPr>
              <w:spacing w:after="0" w:line="259" w:lineRule="auto"/>
              <w:ind w:left="0" w:right="56" w:firstLine="0"/>
              <w:jc w:val="right"/>
            </w:pPr>
            <w:r>
              <w:rPr>
                <w:sz w:val="22"/>
              </w:rPr>
              <w:t xml:space="preserve">(0.673) </w:t>
            </w:r>
          </w:p>
        </w:tc>
      </w:tr>
      <w:tr w:rsidR="003D3187" w14:paraId="23D66E7D" w14:textId="77777777">
        <w:trPr>
          <w:trHeight w:val="288"/>
        </w:trPr>
        <w:tc>
          <w:tcPr>
            <w:tcW w:w="5522" w:type="dxa"/>
            <w:tcBorders>
              <w:top w:val="nil"/>
              <w:left w:val="single" w:sz="4" w:space="0" w:color="000000"/>
              <w:bottom w:val="nil"/>
              <w:right w:val="single" w:sz="4" w:space="0" w:color="000000"/>
            </w:tcBorders>
          </w:tcPr>
          <w:p w14:paraId="58D26CE4" w14:textId="77777777" w:rsidR="003D3187" w:rsidRDefault="00000000">
            <w:pPr>
              <w:spacing w:after="0" w:line="259" w:lineRule="auto"/>
              <w:ind w:left="0" w:firstLine="0"/>
            </w:pPr>
            <w:r>
              <w:rPr>
                <w:sz w:val="22"/>
              </w:rPr>
              <w:t xml:space="preserve">Capital Grants </w:t>
            </w:r>
          </w:p>
        </w:tc>
        <w:tc>
          <w:tcPr>
            <w:tcW w:w="1701" w:type="dxa"/>
            <w:tcBorders>
              <w:top w:val="nil"/>
              <w:left w:val="single" w:sz="4" w:space="0" w:color="000000"/>
              <w:bottom w:val="nil"/>
              <w:right w:val="single" w:sz="4" w:space="0" w:color="000000"/>
            </w:tcBorders>
          </w:tcPr>
          <w:p w14:paraId="1BA85520" w14:textId="77777777" w:rsidR="003D3187" w:rsidRDefault="00000000">
            <w:pPr>
              <w:spacing w:after="0" w:line="259" w:lineRule="auto"/>
              <w:ind w:left="0" w:right="56" w:firstLine="0"/>
              <w:jc w:val="right"/>
            </w:pPr>
            <w:r>
              <w:rPr>
                <w:sz w:val="22"/>
              </w:rPr>
              <w:t xml:space="preserve">(74.191) </w:t>
            </w:r>
          </w:p>
        </w:tc>
      </w:tr>
      <w:tr w:rsidR="003D3187" w14:paraId="6B1B931D" w14:textId="77777777">
        <w:trPr>
          <w:trHeight w:val="288"/>
        </w:trPr>
        <w:tc>
          <w:tcPr>
            <w:tcW w:w="5522" w:type="dxa"/>
            <w:tcBorders>
              <w:top w:val="nil"/>
              <w:left w:val="single" w:sz="4" w:space="0" w:color="000000"/>
              <w:bottom w:val="nil"/>
              <w:right w:val="single" w:sz="4" w:space="0" w:color="000000"/>
            </w:tcBorders>
          </w:tcPr>
          <w:p w14:paraId="74597E49" w14:textId="77777777" w:rsidR="003D3187" w:rsidRDefault="00000000">
            <w:pPr>
              <w:spacing w:after="0" w:line="259" w:lineRule="auto"/>
              <w:ind w:left="0" w:firstLine="0"/>
            </w:pPr>
            <w:r>
              <w:rPr>
                <w:sz w:val="22"/>
              </w:rPr>
              <w:t xml:space="preserve">Major Repairs Reserve </w:t>
            </w:r>
          </w:p>
        </w:tc>
        <w:tc>
          <w:tcPr>
            <w:tcW w:w="1701" w:type="dxa"/>
            <w:tcBorders>
              <w:top w:val="nil"/>
              <w:left w:val="single" w:sz="4" w:space="0" w:color="000000"/>
              <w:bottom w:val="nil"/>
              <w:right w:val="single" w:sz="4" w:space="0" w:color="000000"/>
            </w:tcBorders>
          </w:tcPr>
          <w:p w14:paraId="284E9E4C" w14:textId="77777777" w:rsidR="003D3187" w:rsidRDefault="00000000">
            <w:pPr>
              <w:spacing w:after="0" w:line="259" w:lineRule="auto"/>
              <w:ind w:left="0" w:right="56" w:firstLine="0"/>
              <w:jc w:val="right"/>
            </w:pPr>
            <w:r>
              <w:rPr>
                <w:sz w:val="22"/>
              </w:rPr>
              <w:t xml:space="preserve">(48.670) </w:t>
            </w:r>
          </w:p>
        </w:tc>
      </w:tr>
      <w:tr w:rsidR="003D3187" w14:paraId="5235F8A4" w14:textId="77777777">
        <w:trPr>
          <w:trHeight w:val="261"/>
        </w:trPr>
        <w:tc>
          <w:tcPr>
            <w:tcW w:w="5522" w:type="dxa"/>
            <w:tcBorders>
              <w:top w:val="nil"/>
              <w:left w:val="single" w:sz="4" w:space="0" w:color="000000"/>
              <w:bottom w:val="single" w:sz="4" w:space="0" w:color="000000"/>
              <w:right w:val="single" w:sz="4" w:space="0" w:color="000000"/>
            </w:tcBorders>
          </w:tcPr>
          <w:p w14:paraId="1BE7A0A5" w14:textId="77777777" w:rsidR="003D3187" w:rsidRDefault="00000000">
            <w:pPr>
              <w:spacing w:after="0" w:line="259" w:lineRule="auto"/>
              <w:ind w:left="0" w:firstLine="0"/>
            </w:pPr>
            <w:r>
              <w:rPr>
                <w:sz w:val="22"/>
              </w:rPr>
              <w:t xml:space="preserve">Capital Receipts </w:t>
            </w:r>
          </w:p>
        </w:tc>
        <w:tc>
          <w:tcPr>
            <w:tcW w:w="1701" w:type="dxa"/>
            <w:tcBorders>
              <w:top w:val="nil"/>
              <w:left w:val="single" w:sz="4" w:space="0" w:color="000000"/>
              <w:bottom w:val="single" w:sz="4" w:space="0" w:color="000000"/>
              <w:right w:val="single" w:sz="4" w:space="0" w:color="000000"/>
            </w:tcBorders>
          </w:tcPr>
          <w:p w14:paraId="200A9D01" w14:textId="77777777" w:rsidR="003D3187" w:rsidRDefault="00000000">
            <w:pPr>
              <w:spacing w:after="0" w:line="259" w:lineRule="auto"/>
              <w:ind w:left="0" w:right="56" w:firstLine="0"/>
              <w:jc w:val="right"/>
            </w:pPr>
            <w:r>
              <w:rPr>
                <w:sz w:val="22"/>
              </w:rPr>
              <w:t xml:space="preserve">(0.622) </w:t>
            </w:r>
          </w:p>
        </w:tc>
      </w:tr>
      <w:tr w:rsidR="003D3187" w14:paraId="5566CCCE" w14:textId="77777777">
        <w:trPr>
          <w:trHeight w:val="298"/>
        </w:trPr>
        <w:tc>
          <w:tcPr>
            <w:tcW w:w="5522" w:type="dxa"/>
            <w:tcBorders>
              <w:top w:val="single" w:sz="4" w:space="0" w:color="000000"/>
              <w:left w:val="single" w:sz="4" w:space="0" w:color="000000"/>
              <w:bottom w:val="single" w:sz="4" w:space="0" w:color="000000"/>
              <w:right w:val="single" w:sz="4" w:space="0" w:color="000000"/>
            </w:tcBorders>
          </w:tcPr>
          <w:p w14:paraId="7B909E24" w14:textId="77777777" w:rsidR="003D3187" w:rsidRDefault="00000000">
            <w:pPr>
              <w:spacing w:after="0" w:line="259" w:lineRule="auto"/>
              <w:ind w:left="0" w:firstLine="0"/>
            </w:pPr>
            <w:r>
              <w:rPr>
                <w:b/>
                <w:sz w:val="22"/>
              </w:rPr>
              <w:t xml:space="preserve">Total </w:t>
            </w:r>
          </w:p>
        </w:tc>
        <w:tc>
          <w:tcPr>
            <w:tcW w:w="1701" w:type="dxa"/>
            <w:tcBorders>
              <w:top w:val="single" w:sz="4" w:space="0" w:color="000000"/>
              <w:left w:val="single" w:sz="4" w:space="0" w:color="000000"/>
              <w:bottom w:val="single" w:sz="4" w:space="0" w:color="000000"/>
              <w:right w:val="single" w:sz="4" w:space="0" w:color="000000"/>
            </w:tcBorders>
          </w:tcPr>
          <w:p w14:paraId="760FC0DD" w14:textId="77777777" w:rsidR="003D3187" w:rsidRDefault="00000000">
            <w:pPr>
              <w:spacing w:after="0" w:line="259" w:lineRule="auto"/>
              <w:ind w:left="0" w:right="56" w:firstLine="0"/>
              <w:jc w:val="right"/>
            </w:pPr>
            <w:r>
              <w:rPr>
                <w:sz w:val="22"/>
              </w:rPr>
              <w:t xml:space="preserve">(456.871) </w:t>
            </w:r>
          </w:p>
        </w:tc>
      </w:tr>
    </w:tbl>
    <w:p w14:paraId="63CBD1AD" w14:textId="77777777" w:rsidR="003D3187" w:rsidRDefault="00000000">
      <w:pPr>
        <w:spacing w:after="138" w:line="259" w:lineRule="auto"/>
        <w:ind w:left="981" w:firstLine="0"/>
      </w:pPr>
      <w:r>
        <w:t xml:space="preserve"> </w:t>
      </w:r>
    </w:p>
    <w:p w14:paraId="1D37C7B2" w14:textId="77777777" w:rsidR="003D3187" w:rsidRDefault="00000000">
      <w:pPr>
        <w:ind w:left="1336" w:right="450"/>
      </w:pPr>
      <w:r>
        <w:t xml:space="preserve">6.28 All of this leads to the draft budget. Once the final December settlement is known and that may include further changes to the grants rolled into base budgets, this table below will be further updated. </w:t>
      </w:r>
    </w:p>
    <w:p w14:paraId="7FF4B613" w14:textId="77777777" w:rsidR="003D3187" w:rsidRDefault="00000000">
      <w:pPr>
        <w:pStyle w:val="Heading1"/>
        <w:ind w:left="976" w:right="533"/>
      </w:pPr>
      <w:r>
        <w:t xml:space="preserve">Table 10: Revised Budget &amp; MTFP </w:t>
      </w:r>
    </w:p>
    <w:p w14:paraId="69FA02DE" w14:textId="77777777" w:rsidR="003D3187" w:rsidRDefault="00000000">
      <w:pPr>
        <w:spacing w:after="0" w:line="259" w:lineRule="auto"/>
        <w:ind w:left="981" w:firstLine="0"/>
      </w:pPr>
      <w:r>
        <w:rPr>
          <w:b/>
        </w:rPr>
        <w:t xml:space="preserve"> </w:t>
      </w:r>
    </w:p>
    <w:tbl>
      <w:tblPr>
        <w:tblStyle w:val="TableGrid"/>
        <w:tblW w:w="8807" w:type="dxa"/>
        <w:tblInd w:w="987" w:type="dxa"/>
        <w:tblCellMar>
          <w:top w:w="35" w:type="dxa"/>
          <w:left w:w="107" w:type="dxa"/>
          <w:bottom w:w="0" w:type="dxa"/>
          <w:right w:w="51" w:type="dxa"/>
        </w:tblCellMar>
        <w:tblLook w:val="04A0" w:firstRow="1" w:lastRow="0" w:firstColumn="1" w:lastColumn="0" w:noHBand="0" w:noVBand="1"/>
      </w:tblPr>
      <w:tblGrid>
        <w:gridCol w:w="3628"/>
        <w:gridCol w:w="1294"/>
        <w:gridCol w:w="1295"/>
        <w:gridCol w:w="1295"/>
        <w:gridCol w:w="1295"/>
      </w:tblGrid>
      <w:tr w:rsidR="003D3187" w14:paraId="7EC2F221" w14:textId="77777777">
        <w:trPr>
          <w:trHeight w:val="536"/>
        </w:trPr>
        <w:tc>
          <w:tcPr>
            <w:tcW w:w="3629"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374CE42D" w14:textId="77777777" w:rsidR="003D3187" w:rsidRDefault="00000000">
            <w:pPr>
              <w:spacing w:after="0" w:line="259" w:lineRule="auto"/>
              <w:ind w:left="0" w:firstLine="0"/>
            </w:pPr>
            <w:r>
              <w:rPr>
                <w:b/>
                <w:sz w:val="20"/>
              </w:rPr>
              <w:t xml:space="preserve">Directorate </w:t>
            </w:r>
          </w:p>
        </w:tc>
        <w:tc>
          <w:tcPr>
            <w:tcW w:w="1294" w:type="dxa"/>
            <w:tcBorders>
              <w:top w:val="single" w:sz="4" w:space="0" w:color="000000"/>
              <w:left w:val="single" w:sz="4" w:space="0" w:color="000000"/>
              <w:bottom w:val="single" w:sz="4" w:space="0" w:color="000000"/>
              <w:right w:val="single" w:sz="4" w:space="0" w:color="000000"/>
            </w:tcBorders>
            <w:shd w:val="clear" w:color="auto" w:fill="B5E6A2"/>
          </w:tcPr>
          <w:p w14:paraId="1BDA70E9" w14:textId="77777777" w:rsidR="003D3187" w:rsidRDefault="00000000">
            <w:pPr>
              <w:spacing w:after="0" w:line="259" w:lineRule="auto"/>
              <w:ind w:left="790" w:hanging="434"/>
            </w:pPr>
            <w:r>
              <w:rPr>
                <w:b/>
                <w:sz w:val="20"/>
              </w:rPr>
              <w:t xml:space="preserve">2026/27 £m </w:t>
            </w:r>
          </w:p>
        </w:tc>
        <w:tc>
          <w:tcPr>
            <w:tcW w:w="1295" w:type="dxa"/>
            <w:tcBorders>
              <w:top w:val="single" w:sz="4" w:space="0" w:color="000000"/>
              <w:left w:val="single" w:sz="4" w:space="0" w:color="000000"/>
              <w:bottom w:val="single" w:sz="4" w:space="0" w:color="000000"/>
              <w:right w:val="single" w:sz="4" w:space="0" w:color="000000"/>
            </w:tcBorders>
            <w:shd w:val="clear" w:color="auto" w:fill="B5E6A2"/>
          </w:tcPr>
          <w:p w14:paraId="262A56F7" w14:textId="77777777" w:rsidR="003D3187" w:rsidRDefault="00000000">
            <w:pPr>
              <w:spacing w:after="0" w:line="259" w:lineRule="auto"/>
              <w:ind w:left="791" w:hanging="434"/>
            </w:pPr>
            <w:r>
              <w:rPr>
                <w:b/>
                <w:sz w:val="20"/>
              </w:rPr>
              <w:t xml:space="preserve">2027/28 £m </w:t>
            </w:r>
          </w:p>
        </w:tc>
        <w:tc>
          <w:tcPr>
            <w:tcW w:w="1295" w:type="dxa"/>
            <w:tcBorders>
              <w:top w:val="single" w:sz="4" w:space="0" w:color="000000"/>
              <w:left w:val="single" w:sz="4" w:space="0" w:color="000000"/>
              <w:bottom w:val="single" w:sz="4" w:space="0" w:color="000000"/>
              <w:right w:val="single" w:sz="4" w:space="0" w:color="000000"/>
            </w:tcBorders>
            <w:shd w:val="clear" w:color="auto" w:fill="B5E6A2"/>
          </w:tcPr>
          <w:p w14:paraId="4156FDAC" w14:textId="77777777" w:rsidR="003D3187" w:rsidRDefault="00000000">
            <w:pPr>
              <w:spacing w:after="0" w:line="259" w:lineRule="auto"/>
              <w:ind w:left="791" w:hanging="434"/>
            </w:pPr>
            <w:r>
              <w:rPr>
                <w:b/>
                <w:sz w:val="20"/>
              </w:rPr>
              <w:t xml:space="preserve">2028/29 £m </w:t>
            </w:r>
          </w:p>
        </w:tc>
        <w:tc>
          <w:tcPr>
            <w:tcW w:w="1295" w:type="dxa"/>
            <w:tcBorders>
              <w:top w:val="single" w:sz="4" w:space="0" w:color="000000"/>
              <w:left w:val="single" w:sz="4" w:space="0" w:color="000000"/>
              <w:bottom w:val="single" w:sz="4" w:space="0" w:color="000000"/>
              <w:right w:val="single" w:sz="4" w:space="0" w:color="000000"/>
            </w:tcBorders>
            <w:shd w:val="clear" w:color="auto" w:fill="B5E6A2"/>
          </w:tcPr>
          <w:p w14:paraId="414E9550" w14:textId="77777777" w:rsidR="003D3187" w:rsidRDefault="00000000">
            <w:pPr>
              <w:spacing w:after="0" w:line="259" w:lineRule="auto"/>
              <w:ind w:left="792" w:hanging="434"/>
            </w:pPr>
            <w:r>
              <w:rPr>
                <w:b/>
                <w:sz w:val="20"/>
              </w:rPr>
              <w:t xml:space="preserve">2029/30 £m </w:t>
            </w:r>
          </w:p>
        </w:tc>
      </w:tr>
      <w:tr w:rsidR="003D3187" w14:paraId="0BFE5E10" w14:textId="77777777">
        <w:trPr>
          <w:trHeight w:val="294"/>
        </w:trPr>
        <w:tc>
          <w:tcPr>
            <w:tcW w:w="3629" w:type="dxa"/>
            <w:tcBorders>
              <w:top w:val="single" w:sz="4" w:space="0" w:color="000000"/>
              <w:left w:val="single" w:sz="4" w:space="0" w:color="000000"/>
              <w:bottom w:val="nil"/>
              <w:right w:val="single" w:sz="4" w:space="0" w:color="000000"/>
            </w:tcBorders>
            <w:shd w:val="clear" w:color="auto" w:fill="FFFFFF"/>
          </w:tcPr>
          <w:p w14:paraId="17CFD48D" w14:textId="77777777" w:rsidR="003D3187" w:rsidRDefault="00000000">
            <w:pPr>
              <w:spacing w:after="0" w:line="259" w:lineRule="auto"/>
              <w:ind w:left="0" w:firstLine="0"/>
            </w:pPr>
            <w:r>
              <w:rPr>
                <w:sz w:val="20"/>
              </w:rPr>
              <w:t xml:space="preserve">Adult Social Care &amp; Health </w:t>
            </w:r>
          </w:p>
        </w:tc>
        <w:tc>
          <w:tcPr>
            <w:tcW w:w="1294" w:type="dxa"/>
            <w:vMerge w:val="restart"/>
            <w:tcBorders>
              <w:top w:val="single" w:sz="4" w:space="0" w:color="000000"/>
              <w:left w:val="single" w:sz="4" w:space="0" w:color="000000"/>
              <w:bottom w:val="nil"/>
              <w:right w:val="single" w:sz="4" w:space="0" w:color="000000"/>
            </w:tcBorders>
          </w:tcPr>
          <w:p w14:paraId="1B19E2BE" w14:textId="77777777" w:rsidR="003D3187" w:rsidRDefault="00000000">
            <w:pPr>
              <w:spacing w:after="40" w:line="259" w:lineRule="auto"/>
              <w:ind w:left="0" w:right="57" w:firstLine="0"/>
              <w:jc w:val="right"/>
            </w:pPr>
            <w:r>
              <w:rPr>
                <w:sz w:val="20"/>
              </w:rPr>
              <w:t xml:space="preserve">125.533 </w:t>
            </w:r>
          </w:p>
          <w:p w14:paraId="4B1C4B5F" w14:textId="77777777" w:rsidR="003D3187" w:rsidRDefault="00000000">
            <w:pPr>
              <w:spacing w:after="0" w:line="259" w:lineRule="auto"/>
              <w:ind w:left="0" w:right="57" w:firstLine="0"/>
              <w:jc w:val="right"/>
            </w:pPr>
            <w:r>
              <w:rPr>
                <w:sz w:val="20"/>
              </w:rPr>
              <w:t xml:space="preserve">105.347 </w:t>
            </w:r>
          </w:p>
        </w:tc>
        <w:tc>
          <w:tcPr>
            <w:tcW w:w="1295" w:type="dxa"/>
            <w:vMerge w:val="restart"/>
            <w:tcBorders>
              <w:top w:val="single" w:sz="4" w:space="0" w:color="000000"/>
              <w:left w:val="single" w:sz="4" w:space="0" w:color="000000"/>
              <w:bottom w:val="nil"/>
              <w:right w:val="single" w:sz="4" w:space="0" w:color="000000"/>
            </w:tcBorders>
          </w:tcPr>
          <w:p w14:paraId="178445C5" w14:textId="77777777" w:rsidR="003D3187" w:rsidRDefault="00000000">
            <w:pPr>
              <w:spacing w:after="40" w:line="259" w:lineRule="auto"/>
              <w:ind w:left="0" w:right="57" w:firstLine="0"/>
              <w:jc w:val="right"/>
            </w:pPr>
            <w:r>
              <w:rPr>
                <w:sz w:val="20"/>
              </w:rPr>
              <w:t xml:space="preserve">131.013 </w:t>
            </w:r>
          </w:p>
          <w:p w14:paraId="48754A44" w14:textId="77777777" w:rsidR="003D3187" w:rsidRDefault="00000000">
            <w:pPr>
              <w:spacing w:after="0" w:line="259" w:lineRule="auto"/>
              <w:ind w:left="0" w:right="57" w:firstLine="0"/>
              <w:jc w:val="right"/>
            </w:pPr>
            <w:r>
              <w:rPr>
                <w:sz w:val="20"/>
              </w:rPr>
              <w:t xml:space="preserve">107.531 </w:t>
            </w:r>
          </w:p>
        </w:tc>
        <w:tc>
          <w:tcPr>
            <w:tcW w:w="1295" w:type="dxa"/>
            <w:vMerge w:val="restart"/>
            <w:tcBorders>
              <w:top w:val="single" w:sz="4" w:space="0" w:color="000000"/>
              <w:left w:val="single" w:sz="4" w:space="0" w:color="000000"/>
              <w:bottom w:val="nil"/>
              <w:right w:val="single" w:sz="4" w:space="0" w:color="000000"/>
            </w:tcBorders>
          </w:tcPr>
          <w:p w14:paraId="56AEF947" w14:textId="77777777" w:rsidR="003D3187" w:rsidRDefault="00000000">
            <w:pPr>
              <w:spacing w:after="40" w:line="259" w:lineRule="auto"/>
              <w:ind w:left="0" w:right="57" w:firstLine="0"/>
              <w:jc w:val="right"/>
            </w:pPr>
            <w:r>
              <w:rPr>
                <w:sz w:val="20"/>
              </w:rPr>
              <w:t xml:space="preserve">138.316 </w:t>
            </w:r>
          </w:p>
          <w:p w14:paraId="119E0C30" w14:textId="77777777" w:rsidR="003D3187" w:rsidRDefault="00000000">
            <w:pPr>
              <w:spacing w:after="0" w:line="259" w:lineRule="auto"/>
              <w:ind w:left="0" w:right="57" w:firstLine="0"/>
              <w:jc w:val="right"/>
            </w:pPr>
            <w:r>
              <w:rPr>
                <w:sz w:val="20"/>
              </w:rPr>
              <w:t xml:space="preserve">109.289 </w:t>
            </w:r>
          </w:p>
        </w:tc>
        <w:tc>
          <w:tcPr>
            <w:tcW w:w="1295" w:type="dxa"/>
            <w:vMerge w:val="restart"/>
            <w:tcBorders>
              <w:top w:val="single" w:sz="4" w:space="0" w:color="000000"/>
              <w:left w:val="single" w:sz="4" w:space="0" w:color="000000"/>
              <w:bottom w:val="nil"/>
              <w:right w:val="single" w:sz="4" w:space="0" w:color="000000"/>
            </w:tcBorders>
          </w:tcPr>
          <w:p w14:paraId="7746366C" w14:textId="77777777" w:rsidR="003D3187" w:rsidRDefault="00000000">
            <w:pPr>
              <w:spacing w:after="40" w:line="259" w:lineRule="auto"/>
              <w:ind w:left="0" w:right="56" w:firstLine="0"/>
              <w:jc w:val="right"/>
            </w:pPr>
            <w:r>
              <w:rPr>
                <w:sz w:val="20"/>
              </w:rPr>
              <w:t xml:space="preserve">145.926 </w:t>
            </w:r>
          </w:p>
          <w:p w14:paraId="5BA2B4C9" w14:textId="77777777" w:rsidR="003D3187" w:rsidRDefault="00000000">
            <w:pPr>
              <w:spacing w:after="0" w:line="259" w:lineRule="auto"/>
              <w:ind w:left="0" w:right="56" w:firstLine="0"/>
              <w:jc w:val="right"/>
            </w:pPr>
            <w:r>
              <w:rPr>
                <w:sz w:val="20"/>
              </w:rPr>
              <w:t xml:space="preserve">111.604 </w:t>
            </w:r>
          </w:p>
        </w:tc>
      </w:tr>
      <w:tr w:rsidR="003D3187" w14:paraId="42B4DC34" w14:textId="77777777">
        <w:trPr>
          <w:trHeight w:val="294"/>
        </w:trPr>
        <w:tc>
          <w:tcPr>
            <w:tcW w:w="3629" w:type="dxa"/>
            <w:tcBorders>
              <w:top w:val="nil"/>
              <w:left w:val="single" w:sz="4" w:space="0" w:color="000000"/>
              <w:bottom w:val="nil"/>
              <w:right w:val="single" w:sz="4" w:space="0" w:color="000000"/>
            </w:tcBorders>
          </w:tcPr>
          <w:p w14:paraId="386B3386" w14:textId="77777777" w:rsidR="003D3187" w:rsidRDefault="00000000">
            <w:pPr>
              <w:spacing w:after="0" w:line="259" w:lineRule="auto"/>
              <w:ind w:left="0" w:firstLine="0"/>
            </w:pPr>
            <w:r>
              <w:rPr>
                <w:sz w:val="20"/>
              </w:rPr>
              <w:t xml:space="preserve">Children &amp; Education Services </w:t>
            </w:r>
          </w:p>
        </w:tc>
        <w:tc>
          <w:tcPr>
            <w:tcW w:w="0" w:type="auto"/>
            <w:vMerge/>
            <w:tcBorders>
              <w:top w:val="nil"/>
              <w:left w:val="single" w:sz="4" w:space="0" w:color="000000"/>
              <w:bottom w:val="nil"/>
              <w:right w:val="single" w:sz="4" w:space="0" w:color="000000"/>
            </w:tcBorders>
          </w:tcPr>
          <w:p w14:paraId="03A47FDD" w14:textId="77777777" w:rsidR="003D3187" w:rsidRDefault="003D3187">
            <w:pPr>
              <w:spacing w:after="160" w:line="259" w:lineRule="auto"/>
              <w:ind w:left="0" w:firstLine="0"/>
            </w:pPr>
          </w:p>
        </w:tc>
        <w:tc>
          <w:tcPr>
            <w:tcW w:w="0" w:type="auto"/>
            <w:vMerge/>
            <w:tcBorders>
              <w:top w:val="nil"/>
              <w:left w:val="single" w:sz="4" w:space="0" w:color="000000"/>
              <w:bottom w:val="nil"/>
              <w:right w:val="single" w:sz="4" w:space="0" w:color="000000"/>
            </w:tcBorders>
          </w:tcPr>
          <w:p w14:paraId="58C9EF24" w14:textId="77777777" w:rsidR="003D3187" w:rsidRDefault="003D3187">
            <w:pPr>
              <w:spacing w:after="160" w:line="259" w:lineRule="auto"/>
              <w:ind w:left="0" w:firstLine="0"/>
            </w:pPr>
          </w:p>
        </w:tc>
        <w:tc>
          <w:tcPr>
            <w:tcW w:w="0" w:type="auto"/>
            <w:vMerge/>
            <w:tcBorders>
              <w:top w:val="nil"/>
              <w:left w:val="single" w:sz="4" w:space="0" w:color="000000"/>
              <w:bottom w:val="nil"/>
              <w:right w:val="single" w:sz="4" w:space="0" w:color="000000"/>
            </w:tcBorders>
          </w:tcPr>
          <w:p w14:paraId="55E81836" w14:textId="77777777" w:rsidR="003D3187" w:rsidRDefault="003D3187">
            <w:pPr>
              <w:spacing w:after="160" w:line="259" w:lineRule="auto"/>
              <w:ind w:left="0" w:firstLine="0"/>
            </w:pPr>
          </w:p>
        </w:tc>
        <w:tc>
          <w:tcPr>
            <w:tcW w:w="0" w:type="auto"/>
            <w:vMerge/>
            <w:tcBorders>
              <w:top w:val="nil"/>
              <w:left w:val="single" w:sz="4" w:space="0" w:color="000000"/>
              <w:bottom w:val="nil"/>
              <w:right w:val="single" w:sz="4" w:space="0" w:color="000000"/>
            </w:tcBorders>
          </w:tcPr>
          <w:p w14:paraId="43F5AB2E" w14:textId="77777777" w:rsidR="003D3187" w:rsidRDefault="003D3187">
            <w:pPr>
              <w:spacing w:after="160" w:line="259" w:lineRule="auto"/>
              <w:ind w:left="0" w:firstLine="0"/>
            </w:pPr>
          </w:p>
        </w:tc>
      </w:tr>
      <w:tr w:rsidR="003D3187" w14:paraId="724D981A" w14:textId="77777777">
        <w:trPr>
          <w:trHeight w:val="489"/>
        </w:trPr>
        <w:tc>
          <w:tcPr>
            <w:tcW w:w="3629" w:type="dxa"/>
            <w:tcBorders>
              <w:top w:val="nil"/>
              <w:left w:val="single" w:sz="4" w:space="0" w:color="000000"/>
              <w:bottom w:val="nil"/>
              <w:right w:val="single" w:sz="4" w:space="0" w:color="000000"/>
            </w:tcBorders>
          </w:tcPr>
          <w:p w14:paraId="2F707E39" w14:textId="77777777" w:rsidR="003D3187" w:rsidRDefault="00000000">
            <w:pPr>
              <w:spacing w:after="0" w:line="259" w:lineRule="auto"/>
              <w:ind w:left="0" w:right="36" w:firstLine="0"/>
            </w:pPr>
            <w:r>
              <w:rPr>
                <w:sz w:val="20"/>
              </w:rPr>
              <w:t xml:space="preserve">Communities, Environment &amp; Resident Services </w:t>
            </w:r>
          </w:p>
        </w:tc>
        <w:tc>
          <w:tcPr>
            <w:tcW w:w="1294" w:type="dxa"/>
            <w:tcBorders>
              <w:top w:val="nil"/>
              <w:left w:val="single" w:sz="4" w:space="0" w:color="000000"/>
              <w:bottom w:val="nil"/>
              <w:right w:val="single" w:sz="4" w:space="0" w:color="000000"/>
            </w:tcBorders>
            <w:vAlign w:val="center"/>
          </w:tcPr>
          <w:p w14:paraId="09A7278D" w14:textId="77777777" w:rsidR="003D3187" w:rsidRDefault="00000000">
            <w:pPr>
              <w:spacing w:after="0" w:line="259" w:lineRule="auto"/>
              <w:ind w:left="0" w:right="57" w:firstLine="0"/>
              <w:jc w:val="right"/>
            </w:pPr>
            <w:r>
              <w:rPr>
                <w:sz w:val="20"/>
              </w:rPr>
              <w:t xml:space="preserve">45.338 </w:t>
            </w:r>
          </w:p>
        </w:tc>
        <w:tc>
          <w:tcPr>
            <w:tcW w:w="1295" w:type="dxa"/>
            <w:tcBorders>
              <w:top w:val="nil"/>
              <w:left w:val="single" w:sz="4" w:space="0" w:color="000000"/>
              <w:bottom w:val="nil"/>
              <w:right w:val="single" w:sz="4" w:space="0" w:color="000000"/>
            </w:tcBorders>
            <w:vAlign w:val="center"/>
          </w:tcPr>
          <w:p w14:paraId="6CA513B4" w14:textId="77777777" w:rsidR="003D3187" w:rsidRDefault="00000000">
            <w:pPr>
              <w:spacing w:after="0" w:line="259" w:lineRule="auto"/>
              <w:ind w:left="0" w:right="57" w:firstLine="0"/>
              <w:jc w:val="right"/>
            </w:pPr>
            <w:r>
              <w:rPr>
                <w:sz w:val="20"/>
              </w:rPr>
              <w:t xml:space="preserve">44.805 </w:t>
            </w:r>
          </w:p>
        </w:tc>
        <w:tc>
          <w:tcPr>
            <w:tcW w:w="1295" w:type="dxa"/>
            <w:tcBorders>
              <w:top w:val="nil"/>
              <w:left w:val="single" w:sz="4" w:space="0" w:color="000000"/>
              <w:bottom w:val="nil"/>
              <w:right w:val="single" w:sz="4" w:space="0" w:color="000000"/>
            </w:tcBorders>
            <w:vAlign w:val="center"/>
          </w:tcPr>
          <w:p w14:paraId="13F1C52C" w14:textId="77777777" w:rsidR="003D3187" w:rsidRDefault="00000000">
            <w:pPr>
              <w:spacing w:after="0" w:line="259" w:lineRule="auto"/>
              <w:ind w:left="0" w:right="57" w:firstLine="0"/>
              <w:jc w:val="right"/>
            </w:pPr>
            <w:r>
              <w:rPr>
                <w:sz w:val="20"/>
              </w:rPr>
              <w:t xml:space="preserve">44.506 </w:t>
            </w:r>
          </w:p>
        </w:tc>
        <w:tc>
          <w:tcPr>
            <w:tcW w:w="1295" w:type="dxa"/>
            <w:tcBorders>
              <w:top w:val="nil"/>
              <w:left w:val="single" w:sz="4" w:space="0" w:color="000000"/>
              <w:bottom w:val="nil"/>
              <w:right w:val="single" w:sz="4" w:space="0" w:color="000000"/>
            </w:tcBorders>
            <w:vAlign w:val="center"/>
          </w:tcPr>
          <w:p w14:paraId="3D25E84D" w14:textId="77777777" w:rsidR="003D3187" w:rsidRDefault="00000000">
            <w:pPr>
              <w:spacing w:after="0" w:line="259" w:lineRule="auto"/>
              <w:ind w:left="0" w:right="56" w:firstLine="0"/>
              <w:jc w:val="right"/>
            </w:pPr>
            <w:r>
              <w:rPr>
                <w:sz w:val="20"/>
              </w:rPr>
              <w:t xml:space="preserve">44.844 </w:t>
            </w:r>
          </w:p>
        </w:tc>
      </w:tr>
      <w:tr w:rsidR="003D3187" w14:paraId="08613E4F" w14:textId="77777777">
        <w:trPr>
          <w:trHeight w:val="273"/>
        </w:trPr>
        <w:tc>
          <w:tcPr>
            <w:tcW w:w="3629" w:type="dxa"/>
            <w:tcBorders>
              <w:top w:val="nil"/>
              <w:left w:val="single" w:sz="4" w:space="0" w:color="000000"/>
              <w:bottom w:val="nil"/>
              <w:right w:val="single" w:sz="4" w:space="0" w:color="000000"/>
            </w:tcBorders>
          </w:tcPr>
          <w:p w14:paraId="25D11E40" w14:textId="77777777" w:rsidR="003D3187" w:rsidRDefault="00000000">
            <w:pPr>
              <w:spacing w:after="0" w:line="259" w:lineRule="auto"/>
              <w:ind w:left="0" w:firstLine="0"/>
            </w:pPr>
            <w:r>
              <w:rPr>
                <w:sz w:val="20"/>
              </w:rPr>
              <w:t xml:space="preserve">Growth &amp; City Development </w:t>
            </w:r>
          </w:p>
        </w:tc>
        <w:tc>
          <w:tcPr>
            <w:tcW w:w="1294" w:type="dxa"/>
            <w:tcBorders>
              <w:top w:val="nil"/>
              <w:left w:val="single" w:sz="4" w:space="0" w:color="000000"/>
              <w:bottom w:val="nil"/>
              <w:right w:val="single" w:sz="4" w:space="0" w:color="000000"/>
            </w:tcBorders>
          </w:tcPr>
          <w:p w14:paraId="62823A04" w14:textId="77777777" w:rsidR="003D3187" w:rsidRDefault="00000000">
            <w:pPr>
              <w:spacing w:after="0" w:line="259" w:lineRule="auto"/>
              <w:ind w:left="0" w:right="57" w:firstLine="0"/>
              <w:jc w:val="right"/>
            </w:pPr>
            <w:r>
              <w:rPr>
                <w:sz w:val="20"/>
              </w:rPr>
              <w:t xml:space="preserve">15.262 </w:t>
            </w:r>
          </w:p>
        </w:tc>
        <w:tc>
          <w:tcPr>
            <w:tcW w:w="1295" w:type="dxa"/>
            <w:tcBorders>
              <w:top w:val="nil"/>
              <w:left w:val="single" w:sz="4" w:space="0" w:color="000000"/>
              <w:bottom w:val="nil"/>
              <w:right w:val="single" w:sz="4" w:space="0" w:color="000000"/>
            </w:tcBorders>
          </w:tcPr>
          <w:p w14:paraId="38F89135" w14:textId="77777777" w:rsidR="003D3187" w:rsidRDefault="00000000">
            <w:pPr>
              <w:spacing w:after="0" w:line="259" w:lineRule="auto"/>
              <w:ind w:left="0" w:right="57" w:firstLine="0"/>
              <w:jc w:val="right"/>
            </w:pPr>
            <w:r>
              <w:rPr>
                <w:sz w:val="20"/>
              </w:rPr>
              <w:t xml:space="preserve">15.850 </w:t>
            </w:r>
          </w:p>
        </w:tc>
        <w:tc>
          <w:tcPr>
            <w:tcW w:w="1295" w:type="dxa"/>
            <w:tcBorders>
              <w:top w:val="nil"/>
              <w:left w:val="single" w:sz="4" w:space="0" w:color="000000"/>
              <w:bottom w:val="nil"/>
              <w:right w:val="single" w:sz="4" w:space="0" w:color="000000"/>
            </w:tcBorders>
          </w:tcPr>
          <w:p w14:paraId="32E76B5B" w14:textId="77777777" w:rsidR="003D3187" w:rsidRDefault="00000000">
            <w:pPr>
              <w:spacing w:after="0" w:line="259" w:lineRule="auto"/>
              <w:ind w:left="0" w:right="57" w:firstLine="0"/>
              <w:jc w:val="right"/>
            </w:pPr>
            <w:r>
              <w:rPr>
                <w:sz w:val="20"/>
              </w:rPr>
              <w:t xml:space="preserve">16.160 </w:t>
            </w:r>
          </w:p>
        </w:tc>
        <w:tc>
          <w:tcPr>
            <w:tcW w:w="1295" w:type="dxa"/>
            <w:tcBorders>
              <w:top w:val="nil"/>
              <w:left w:val="single" w:sz="4" w:space="0" w:color="000000"/>
              <w:bottom w:val="nil"/>
              <w:right w:val="single" w:sz="4" w:space="0" w:color="000000"/>
            </w:tcBorders>
          </w:tcPr>
          <w:p w14:paraId="730E5860" w14:textId="77777777" w:rsidR="003D3187" w:rsidRDefault="00000000">
            <w:pPr>
              <w:spacing w:after="0" w:line="259" w:lineRule="auto"/>
              <w:ind w:left="0" w:right="56" w:firstLine="0"/>
              <w:jc w:val="right"/>
            </w:pPr>
            <w:r>
              <w:rPr>
                <w:sz w:val="20"/>
              </w:rPr>
              <w:t xml:space="preserve">16.160 </w:t>
            </w:r>
          </w:p>
        </w:tc>
      </w:tr>
      <w:tr w:rsidR="003D3187" w14:paraId="01FF34CD" w14:textId="77777777">
        <w:trPr>
          <w:trHeight w:val="288"/>
        </w:trPr>
        <w:tc>
          <w:tcPr>
            <w:tcW w:w="3629" w:type="dxa"/>
            <w:tcBorders>
              <w:top w:val="nil"/>
              <w:left w:val="single" w:sz="4" w:space="0" w:color="000000"/>
              <w:bottom w:val="nil"/>
              <w:right w:val="single" w:sz="4" w:space="0" w:color="000000"/>
            </w:tcBorders>
          </w:tcPr>
          <w:p w14:paraId="15A011AD" w14:textId="77777777" w:rsidR="003D3187" w:rsidRDefault="00000000">
            <w:pPr>
              <w:spacing w:after="0" w:line="259" w:lineRule="auto"/>
              <w:ind w:left="0" w:firstLine="0"/>
            </w:pPr>
            <w:r>
              <w:rPr>
                <w:sz w:val="20"/>
              </w:rPr>
              <w:t xml:space="preserve">Finance &amp; Resources </w:t>
            </w:r>
          </w:p>
        </w:tc>
        <w:tc>
          <w:tcPr>
            <w:tcW w:w="1294" w:type="dxa"/>
            <w:tcBorders>
              <w:top w:val="nil"/>
              <w:left w:val="single" w:sz="4" w:space="0" w:color="000000"/>
              <w:bottom w:val="nil"/>
              <w:right w:val="single" w:sz="4" w:space="0" w:color="000000"/>
            </w:tcBorders>
          </w:tcPr>
          <w:p w14:paraId="38D2DD6F" w14:textId="77777777" w:rsidR="003D3187" w:rsidRDefault="00000000">
            <w:pPr>
              <w:spacing w:after="0" w:line="259" w:lineRule="auto"/>
              <w:ind w:left="0" w:right="57" w:firstLine="0"/>
              <w:jc w:val="right"/>
            </w:pPr>
            <w:r>
              <w:rPr>
                <w:sz w:val="20"/>
              </w:rPr>
              <w:t xml:space="preserve">48.143 </w:t>
            </w:r>
          </w:p>
        </w:tc>
        <w:tc>
          <w:tcPr>
            <w:tcW w:w="1295" w:type="dxa"/>
            <w:tcBorders>
              <w:top w:val="nil"/>
              <w:left w:val="single" w:sz="4" w:space="0" w:color="000000"/>
              <w:bottom w:val="nil"/>
              <w:right w:val="single" w:sz="4" w:space="0" w:color="000000"/>
            </w:tcBorders>
          </w:tcPr>
          <w:p w14:paraId="0C85BF06" w14:textId="77777777" w:rsidR="003D3187" w:rsidRDefault="00000000">
            <w:pPr>
              <w:spacing w:after="0" w:line="259" w:lineRule="auto"/>
              <w:ind w:left="0" w:right="57" w:firstLine="0"/>
              <w:jc w:val="right"/>
            </w:pPr>
            <w:r>
              <w:rPr>
                <w:sz w:val="20"/>
              </w:rPr>
              <w:t xml:space="preserve">47.967 </w:t>
            </w:r>
          </w:p>
        </w:tc>
        <w:tc>
          <w:tcPr>
            <w:tcW w:w="1295" w:type="dxa"/>
            <w:tcBorders>
              <w:top w:val="nil"/>
              <w:left w:val="single" w:sz="4" w:space="0" w:color="000000"/>
              <w:bottom w:val="nil"/>
              <w:right w:val="single" w:sz="4" w:space="0" w:color="000000"/>
            </w:tcBorders>
          </w:tcPr>
          <w:p w14:paraId="01FDF88A" w14:textId="77777777" w:rsidR="003D3187" w:rsidRDefault="00000000">
            <w:pPr>
              <w:spacing w:after="0" w:line="259" w:lineRule="auto"/>
              <w:ind w:left="0" w:right="57" w:firstLine="0"/>
              <w:jc w:val="right"/>
            </w:pPr>
            <w:r>
              <w:rPr>
                <w:sz w:val="20"/>
              </w:rPr>
              <w:t xml:space="preserve">47.610 </w:t>
            </w:r>
          </w:p>
        </w:tc>
        <w:tc>
          <w:tcPr>
            <w:tcW w:w="1295" w:type="dxa"/>
            <w:tcBorders>
              <w:top w:val="nil"/>
              <w:left w:val="single" w:sz="4" w:space="0" w:color="000000"/>
              <w:bottom w:val="nil"/>
              <w:right w:val="single" w:sz="4" w:space="0" w:color="000000"/>
            </w:tcBorders>
          </w:tcPr>
          <w:p w14:paraId="073471D2" w14:textId="77777777" w:rsidR="003D3187" w:rsidRDefault="00000000">
            <w:pPr>
              <w:spacing w:after="0" w:line="259" w:lineRule="auto"/>
              <w:ind w:left="0" w:right="56" w:firstLine="0"/>
              <w:jc w:val="right"/>
            </w:pPr>
            <w:r>
              <w:rPr>
                <w:sz w:val="20"/>
              </w:rPr>
              <w:t xml:space="preserve">47.610 </w:t>
            </w:r>
          </w:p>
        </w:tc>
      </w:tr>
      <w:tr w:rsidR="003D3187" w14:paraId="5CEA3763" w14:textId="77777777">
        <w:trPr>
          <w:trHeight w:val="288"/>
        </w:trPr>
        <w:tc>
          <w:tcPr>
            <w:tcW w:w="3629" w:type="dxa"/>
            <w:tcBorders>
              <w:top w:val="nil"/>
              <w:left w:val="single" w:sz="4" w:space="0" w:color="000000"/>
              <w:bottom w:val="nil"/>
              <w:right w:val="single" w:sz="4" w:space="0" w:color="000000"/>
            </w:tcBorders>
          </w:tcPr>
          <w:p w14:paraId="369946B9" w14:textId="77777777" w:rsidR="003D3187" w:rsidRDefault="00000000">
            <w:pPr>
              <w:spacing w:after="0" w:line="259" w:lineRule="auto"/>
              <w:ind w:left="0" w:firstLine="0"/>
            </w:pPr>
            <w:r>
              <w:rPr>
                <w:sz w:val="20"/>
              </w:rPr>
              <w:t xml:space="preserve">Chief Executive </w:t>
            </w:r>
          </w:p>
        </w:tc>
        <w:tc>
          <w:tcPr>
            <w:tcW w:w="1294" w:type="dxa"/>
            <w:tcBorders>
              <w:top w:val="nil"/>
              <w:left w:val="single" w:sz="4" w:space="0" w:color="000000"/>
              <w:bottom w:val="nil"/>
              <w:right w:val="single" w:sz="4" w:space="0" w:color="000000"/>
            </w:tcBorders>
          </w:tcPr>
          <w:p w14:paraId="313B02E0" w14:textId="77777777" w:rsidR="003D3187" w:rsidRDefault="00000000">
            <w:pPr>
              <w:spacing w:after="0" w:line="259" w:lineRule="auto"/>
              <w:ind w:left="0" w:right="57" w:firstLine="0"/>
              <w:jc w:val="right"/>
            </w:pPr>
            <w:r>
              <w:rPr>
                <w:sz w:val="20"/>
              </w:rPr>
              <w:t xml:space="preserve">3.584 </w:t>
            </w:r>
          </w:p>
        </w:tc>
        <w:tc>
          <w:tcPr>
            <w:tcW w:w="1295" w:type="dxa"/>
            <w:tcBorders>
              <w:top w:val="nil"/>
              <w:left w:val="single" w:sz="4" w:space="0" w:color="000000"/>
              <w:bottom w:val="nil"/>
              <w:right w:val="single" w:sz="4" w:space="0" w:color="000000"/>
            </w:tcBorders>
          </w:tcPr>
          <w:p w14:paraId="3FEA22E4" w14:textId="77777777" w:rsidR="003D3187" w:rsidRDefault="00000000">
            <w:pPr>
              <w:spacing w:after="0" w:line="259" w:lineRule="auto"/>
              <w:ind w:left="0" w:right="57" w:firstLine="0"/>
              <w:jc w:val="right"/>
            </w:pPr>
            <w:r>
              <w:rPr>
                <w:sz w:val="20"/>
              </w:rPr>
              <w:t xml:space="preserve">2.778 </w:t>
            </w:r>
          </w:p>
        </w:tc>
        <w:tc>
          <w:tcPr>
            <w:tcW w:w="1295" w:type="dxa"/>
            <w:tcBorders>
              <w:top w:val="nil"/>
              <w:left w:val="single" w:sz="4" w:space="0" w:color="000000"/>
              <w:bottom w:val="nil"/>
              <w:right w:val="single" w:sz="4" w:space="0" w:color="000000"/>
            </w:tcBorders>
          </w:tcPr>
          <w:p w14:paraId="144964AA" w14:textId="77777777" w:rsidR="003D3187" w:rsidRDefault="00000000">
            <w:pPr>
              <w:spacing w:after="0" w:line="259" w:lineRule="auto"/>
              <w:ind w:left="0" w:right="57" w:firstLine="0"/>
              <w:jc w:val="right"/>
            </w:pPr>
            <w:r>
              <w:rPr>
                <w:sz w:val="20"/>
              </w:rPr>
              <w:t xml:space="preserve">2.778 </w:t>
            </w:r>
          </w:p>
        </w:tc>
        <w:tc>
          <w:tcPr>
            <w:tcW w:w="1295" w:type="dxa"/>
            <w:tcBorders>
              <w:top w:val="nil"/>
              <w:left w:val="single" w:sz="4" w:space="0" w:color="000000"/>
              <w:bottom w:val="nil"/>
              <w:right w:val="single" w:sz="4" w:space="0" w:color="000000"/>
            </w:tcBorders>
          </w:tcPr>
          <w:p w14:paraId="5EA78D72" w14:textId="77777777" w:rsidR="003D3187" w:rsidRDefault="00000000">
            <w:pPr>
              <w:spacing w:after="0" w:line="259" w:lineRule="auto"/>
              <w:ind w:left="0" w:right="56" w:firstLine="0"/>
              <w:jc w:val="right"/>
            </w:pPr>
            <w:r>
              <w:rPr>
                <w:sz w:val="20"/>
              </w:rPr>
              <w:t xml:space="preserve">2.778 </w:t>
            </w:r>
          </w:p>
        </w:tc>
      </w:tr>
      <w:tr w:rsidR="003D3187" w14:paraId="30173994" w14:textId="77777777">
        <w:trPr>
          <w:trHeight w:val="288"/>
        </w:trPr>
        <w:tc>
          <w:tcPr>
            <w:tcW w:w="3629" w:type="dxa"/>
            <w:tcBorders>
              <w:top w:val="nil"/>
              <w:left w:val="single" w:sz="4" w:space="0" w:color="000000"/>
              <w:bottom w:val="nil"/>
              <w:right w:val="single" w:sz="4" w:space="0" w:color="000000"/>
            </w:tcBorders>
          </w:tcPr>
          <w:p w14:paraId="205BBD2A" w14:textId="77777777" w:rsidR="003D3187" w:rsidRDefault="00000000">
            <w:pPr>
              <w:spacing w:after="0" w:line="259" w:lineRule="auto"/>
              <w:ind w:left="0" w:firstLine="0"/>
            </w:pPr>
            <w:r>
              <w:rPr>
                <w:sz w:val="20"/>
              </w:rPr>
              <w:t xml:space="preserve">Companies </w:t>
            </w:r>
          </w:p>
        </w:tc>
        <w:tc>
          <w:tcPr>
            <w:tcW w:w="1294" w:type="dxa"/>
            <w:tcBorders>
              <w:top w:val="nil"/>
              <w:left w:val="single" w:sz="4" w:space="0" w:color="000000"/>
              <w:bottom w:val="nil"/>
              <w:right w:val="single" w:sz="4" w:space="0" w:color="000000"/>
            </w:tcBorders>
          </w:tcPr>
          <w:p w14:paraId="7A74B2D2" w14:textId="77777777" w:rsidR="003D3187" w:rsidRDefault="00000000">
            <w:pPr>
              <w:spacing w:after="0" w:line="259" w:lineRule="auto"/>
              <w:ind w:left="0" w:right="57" w:firstLine="0"/>
              <w:jc w:val="right"/>
            </w:pPr>
            <w:r>
              <w:rPr>
                <w:sz w:val="20"/>
              </w:rPr>
              <w:t xml:space="preserve">0.770 </w:t>
            </w:r>
          </w:p>
        </w:tc>
        <w:tc>
          <w:tcPr>
            <w:tcW w:w="1295" w:type="dxa"/>
            <w:tcBorders>
              <w:top w:val="nil"/>
              <w:left w:val="single" w:sz="4" w:space="0" w:color="000000"/>
              <w:bottom w:val="nil"/>
              <w:right w:val="single" w:sz="4" w:space="0" w:color="000000"/>
            </w:tcBorders>
          </w:tcPr>
          <w:p w14:paraId="69FD15D4" w14:textId="77777777" w:rsidR="003D3187" w:rsidRDefault="00000000">
            <w:pPr>
              <w:spacing w:after="0" w:line="259" w:lineRule="auto"/>
              <w:ind w:left="0" w:right="57" w:firstLine="0"/>
              <w:jc w:val="right"/>
            </w:pPr>
            <w:r>
              <w:rPr>
                <w:sz w:val="20"/>
              </w:rPr>
              <w:t xml:space="preserve">0.841 </w:t>
            </w:r>
          </w:p>
        </w:tc>
        <w:tc>
          <w:tcPr>
            <w:tcW w:w="1295" w:type="dxa"/>
            <w:tcBorders>
              <w:top w:val="nil"/>
              <w:left w:val="single" w:sz="4" w:space="0" w:color="000000"/>
              <w:bottom w:val="nil"/>
              <w:right w:val="single" w:sz="4" w:space="0" w:color="000000"/>
            </w:tcBorders>
          </w:tcPr>
          <w:p w14:paraId="2D3B4374" w14:textId="77777777" w:rsidR="003D3187" w:rsidRDefault="00000000">
            <w:pPr>
              <w:spacing w:after="0" w:line="259" w:lineRule="auto"/>
              <w:ind w:left="0" w:right="57" w:firstLine="0"/>
              <w:jc w:val="right"/>
            </w:pPr>
            <w:r>
              <w:rPr>
                <w:sz w:val="20"/>
              </w:rPr>
              <w:t xml:space="preserve">0.841 </w:t>
            </w:r>
          </w:p>
        </w:tc>
        <w:tc>
          <w:tcPr>
            <w:tcW w:w="1295" w:type="dxa"/>
            <w:tcBorders>
              <w:top w:val="nil"/>
              <w:left w:val="single" w:sz="4" w:space="0" w:color="000000"/>
              <w:bottom w:val="nil"/>
              <w:right w:val="single" w:sz="4" w:space="0" w:color="000000"/>
            </w:tcBorders>
          </w:tcPr>
          <w:p w14:paraId="55978006" w14:textId="77777777" w:rsidR="003D3187" w:rsidRDefault="00000000">
            <w:pPr>
              <w:spacing w:after="0" w:line="259" w:lineRule="auto"/>
              <w:ind w:left="0" w:right="56" w:firstLine="0"/>
              <w:jc w:val="right"/>
            </w:pPr>
            <w:r>
              <w:rPr>
                <w:sz w:val="20"/>
              </w:rPr>
              <w:t xml:space="preserve">0.841 </w:t>
            </w:r>
          </w:p>
        </w:tc>
      </w:tr>
      <w:tr w:rsidR="003D3187" w14:paraId="27BCCB74" w14:textId="77777777">
        <w:trPr>
          <w:trHeight w:val="272"/>
        </w:trPr>
        <w:tc>
          <w:tcPr>
            <w:tcW w:w="3629" w:type="dxa"/>
            <w:tcBorders>
              <w:top w:val="nil"/>
              <w:left w:val="single" w:sz="4" w:space="0" w:color="000000"/>
              <w:bottom w:val="single" w:sz="4" w:space="0" w:color="000000"/>
              <w:right w:val="single" w:sz="4" w:space="0" w:color="000000"/>
            </w:tcBorders>
          </w:tcPr>
          <w:p w14:paraId="06089C9D" w14:textId="77777777" w:rsidR="003D3187" w:rsidRDefault="00000000">
            <w:pPr>
              <w:spacing w:after="0" w:line="259" w:lineRule="auto"/>
              <w:ind w:left="0" w:firstLine="0"/>
            </w:pPr>
            <w:r>
              <w:rPr>
                <w:sz w:val="20"/>
              </w:rPr>
              <w:t xml:space="preserve">Corporate </w:t>
            </w:r>
          </w:p>
        </w:tc>
        <w:tc>
          <w:tcPr>
            <w:tcW w:w="1294" w:type="dxa"/>
            <w:tcBorders>
              <w:top w:val="nil"/>
              <w:left w:val="single" w:sz="4" w:space="0" w:color="000000"/>
              <w:bottom w:val="single" w:sz="4" w:space="0" w:color="000000"/>
              <w:right w:val="single" w:sz="4" w:space="0" w:color="000000"/>
            </w:tcBorders>
          </w:tcPr>
          <w:p w14:paraId="136CEF35" w14:textId="77777777" w:rsidR="003D3187" w:rsidRDefault="00000000">
            <w:pPr>
              <w:spacing w:after="0" w:line="259" w:lineRule="auto"/>
              <w:ind w:left="0" w:right="57" w:firstLine="0"/>
              <w:jc w:val="right"/>
            </w:pPr>
            <w:r>
              <w:rPr>
                <w:sz w:val="20"/>
              </w:rPr>
              <w:t xml:space="preserve">79.840 </w:t>
            </w:r>
          </w:p>
        </w:tc>
        <w:tc>
          <w:tcPr>
            <w:tcW w:w="1295" w:type="dxa"/>
            <w:tcBorders>
              <w:top w:val="nil"/>
              <w:left w:val="single" w:sz="4" w:space="0" w:color="000000"/>
              <w:bottom w:val="single" w:sz="4" w:space="0" w:color="000000"/>
              <w:right w:val="single" w:sz="4" w:space="0" w:color="000000"/>
            </w:tcBorders>
          </w:tcPr>
          <w:p w14:paraId="55217242" w14:textId="77777777" w:rsidR="003D3187" w:rsidRDefault="00000000">
            <w:pPr>
              <w:spacing w:after="0" w:line="259" w:lineRule="auto"/>
              <w:ind w:left="0" w:right="57" w:firstLine="0"/>
              <w:jc w:val="right"/>
            </w:pPr>
            <w:r>
              <w:rPr>
                <w:sz w:val="20"/>
              </w:rPr>
              <w:t xml:space="preserve">90.991 </w:t>
            </w:r>
          </w:p>
        </w:tc>
        <w:tc>
          <w:tcPr>
            <w:tcW w:w="1295" w:type="dxa"/>
            <w:tcBorders>
              <w:top w:val="nil"/>
              <w:left w:val="single" w:sz="4" w:space="0" w:color="000000"/>
              <w:bottom w:val="single" w:sz="4" w:space="0" w:color="000000"/>
              <w:right w:val="single" w:sz="4" w:space="0" w:color="000000"/>
            </w:tcBorders>
          </w:tcPr>
          <w:p w14:paraId="7F293C0B" w14:textId="77777777" w:rsidR="003D3187" w:rsidRDefault="00000000">
            <w:pPr>
              <w:spacing w:after="0" w:line="259" w:lineRule="auto"/>
              <w:ind w:left="0" w:right="57" w:firstLine="0"/>
              <w:jc w:val="right"/>
            </w:pPr>
            <w:r>
              <w:rPr>
                <w:sz w:val="20"/>
              </w:rPr>
              <w:t xml:space="preserve">103.260 </w:t>
            </w:r>
          </w:p>
        </w:tc>
        <w:tc>
          <w:tcPr>
            <w:tcW w:w="1295" w:type="dxa"/>
            <w:tcBorders>
              <w:top w:val="nil"/>
              <w:left w:val="single" w:sz="4" w:space="0" w:color="000000"/>
              <w:bottom w:val="single" w:sz="4" w:space="0" w:color="000000"/>
              <w:right w:val="single" w:sz="4" w:space="0" w:color="000000"/>
            </w:tcBorders>
          </w:tcPr>
          <w:p w14:paraId="6BF16BAD" w14:textId="77777777" w:rsidR="003D3187" w:rsidRDefault="00000000">
            <w:pPr>
              <w:spacing w:after="0" w:line="259" w:lineRule="auto"/>
              <w:ind w:left="0" w:right="56" w:firstLine="0"/>
              <w:jc w:val="right"/>
            </w:pPr>
            <w:r>
              <w:rPr>
                <w:sz w:val="20"/>
              </w:rPr>
              <w:t xml:space="preserve">117.019 </w:t>
            </w:r>
          </w:p>
        </w:tc>
      </w:tr>
      <w:tr w:rsidR="003D3187" w14:paraId="2FD53114" w14:textId="77777777">
        <w:trPr>
          <w:trHeight w:val="297"/>
        </w:trPr>
        <w:tc>
          <w:tcPr>
            <w:tcW w:w="3629" w:type="dxa"/>
            <w:tcBorders>
              <w:top w:val="single" w:sz="4" w:space="0" w:color="000000"/>
              <w:left w:val="single" w:sz="4" w:space="0" w:color="000000"/>
              <w:bottom w:val="single" w:sz="4" w:space="0" w:color="000000"/>
              <w:right w:val="single" w:sz="4" w:space="0" w:color="000000"/>
            </w:tcBorders>
            <w:shd w:val="clear" w:color="auto" w:fill="B5E6A2"/>
          </w:tcPr>
          <w:p w14:paraId="10D5E182" w14:textId="77777777" w:rsidR="003D3187" w:rsidRDefault="00000000">
            <w:pPr>
              <w:spacing w:after="0" w:line="259" w:lineRule="auto"/>
              <w:ind w:left="0" w:firstLine="0"/>
            </w:pPr>
            <w:r>
              <w:rPr>
                <w:b/>
                <w:sz w:val="20"/>
              </w:rPr>
              <w:t xml:space="preserve">Projected Budget </w:t>
            </w:r>
          </w:p>
        </w:tc>
        <w:tc>
          <w:tcPr>
            <w:tcW w:w="1294" w:type="dxa"/>
            <w:tcBorders>
              <w:top w:val="single" w:sz="4" w:space="0" w:color="000000"/>
              <w:left w:val="single" w:sz="4" w:space="0" w:color="000000"/>
              <w:bottom w:val="single" w:sz="4" w:space="0" w:color="000000"/>
              <w:right w:val="single" w:sz="4" w:space="0" w:color="000000"/>
            </w:tcBorders>
            <w:shd w:val="clear" w:color="auto" w:fill="B5E6A2"/>
          </w:tcPr>
          <w:p w14:paraId="7838ECD3" w14:textId="77777777" w:rsidR="003D3187" w:rsidRDefault="00000000">
            <w:pPr>
              <w:spacing w:after="0" w:line="259" w:lineRule="auto"/>
              <w:ind w:left="0" w:right="57" w:firstLine="0"/>
              <w:jc w:val="right"/>
            </w:pPr>
            <w:r>
              <w:rPr>
                <w:b/>
                <w:sz w:val="20"/>
              </w:rPr>
              <w:t xml:space="preserve">423.817 </w:t>
            </w:r>
          </w:p>
        </w:tc>
        <w:tc>
          <w:tcPr>
            <w:tcW w:w="1295" w:type="dxa"/>
            <w:tcBorders>
              <w:top w:val="single" w:sz="4" w:space="0" w:color="000000"/>
              <w:left w:val="single" w:sz="4" w:space="0" w:color="000000"/>
              <w:bottom w:val="single" w:sz="4" w:space="0" w:color="000000"/>
              <w:right w:val="single" w:sz="4" w:space="0" w:color="000000"/>
            </w:tcBorders>
            <w:shd w:val="clear" w:color="auto" w:fill="B5E6A2"/>
          </w:tcPr>
          <w:p w14:paraId="3AE24820" w14:textId="77777777" w:rsidR="003D3187" w:rsidRDefault="00000000">
            <w:pPr>
              <w:spacing w:after="0" w:line="259" w:lineRule="auto"/>
              <w:ind w:left="0" w:right="57" w:firstLine="0"/>
              <w:jc w:val="right"/>
            </w:pPr>
            <w:r>
              <w:rPr>
                <w:b/>
                <w:sz w:val="20"/>
              </w:rPr>
              <w:t xml:space="preserve">441.776 </w:t>
            </w:r>
          </w:p>
        </w:tc>
        <w:tc>
          <w:tcPr>
            <w:tcW w:w="1295" w:type="dxa"/>
            <w:tcBorders>
              <w:top w:val="single" w:sz="4" w:space="0" w:color="000000"/>
              <w:left w:val="single" w:sz="4" w:space="0" w:color="000000"/>
              <w:bottom w:val="single" w:sz="4" w:space="0" w:color="000000"/>
              <w:right w:val="single" w:sz="4" w:space="0" w:color="000000"/>
            </w:tcBorders>
            <w:shd w:val="clear" w:color="auto" w:fill="B5E6A2"/>
          </w:tcPr>
          <w:p w14:paraId="15F5B5A4" w14:textId="77777777" w:rsidR="003D3187" w:rsidRDefault="00000000">
            <w:pPr>
              <w:spacing w:after="0" w:line="259" w:lineRule="auto"/>
              <w:ind w:left="0" w:right="57" w:firstLine="0"/>
              <w:jc w:val="right"/>
            </w:pPr>
            <w:r>
              <w:rPr>
                <w:b/>
                <w:sz w:val="20"/>
              </w:rPr>
              <w:t xml:space="preserve">462.760 </w:t>
            </w:r>
          </w:p>
        </w:tc>
        <w:tc>
          <w:tcPr>
            <w:tcW w:w="1295" w:type="dxa"/>
            <w:tcBorders>
              <w:top w:val="single" w:sz="4" w:space="0" w:color="000000"/>
              <w:left w:val="single" w:sz="4" w:space="0" w:color="000000"/>
              <w:bottom w:val="single" w:sz="4" w:space="0" w:color="000000"/>
              <w:right w:val="single" w:sz="4" w:space="0" w:color="000000"/>
            </w:tcBorders>
            <w:shd w:val="clear" w:color="auto" w:fill="B5E6A2"/>
          </w:tcPr>
          <w:p w14:paraId="0E460908" w14:textId="77777777" w:rsidR="003D3187" w:rsidRDefault="00000000">
            <w:pPr>
              <w:spacing w:after="0" w:line="259" w:lineRule="auto"/>
              <w:ind w:left="0" w:right="56" w:firstLine="0"/>
              <w:jc w:val="right"/>
            </w:pPr>
            <w:r>
              <w:rPr>
                <w:b/>
                <w:sz w:val="20"/>
              </w:rPr>
              <w:t xml:space="preserve">486.782 </w:t>
            </w:r>
          </w:p>
        </w:tc>
      </w:tr>
      <w:tr w:rsidR="003D3187" w14:paraId="36F6F08E" w14:textId="77777777">
        <w:trPr>
          <w:trHeight w:val="294"/>
        </w:trPr>
        <w:tc>
          <w:tcPr>
            <w:tcW w:w="3629" w:type="dxa"/>
            <w:tcBorders>
              <w:top w:val="single" w:sz="4" w:space="0" w:color="000000"/>
              <w:left w:val="single" w:sz="4" w:space="0" w:color="000000"/>
              <w:bottom w:val="nil"/>
              <w:right w:val="single" w:sz="4" w:space="0" w:color="000000"/>
            </w:tcBorders>
            <w:shd w:val="clear" w:color="auto" w:fill="FFFFFF"/>
          </w:tcPr>
          <w:p w14:paraId="20C89672" w14:textId="77777777" w:rsidR="003D3187" w:rsidRDefault="00000000">
            <w:pPr>
              <w:spacing w:after="0" w:line="259" w:lineRule="auto"/>
              <w:ind w:left="0" w:firstLine="0"/>
            </w:pPr>
            <w:r>
              <w:rPr>
                <w:sz w:val="20"/>
              </w:rPr>
              <w:t xml:space="preserve">Core Funding </w:t>
            </w:r>
          </w:p>
        </w:tc>
        <w:tc>
          <w:tcPr>
            <w:tcW w:w="1294" w:type="dxa"/>
            <w:tcBorders>
              <w:top w:val="single" w:sz="4" w:space="0" w:color="000000"/>
              <w:left w:val="single" w:sz="4" w:space="0" w:color="000000"/>
              <w:bottom w:val="nil"/>
              <w:right w:val="single" w:sz="4" w:space="0" w:color="000000"/>
            </w:tcBorders>
            <w:shd w:val="clear" w:color="auto" w:fill="FFFFFF"/>
          </w:tcPr>
          <w:p w14:paraId="4A406682" w14:textId="77777777" w:rsidR="003D3187" w:rsidRDefault="00000000">
            <w:pPr>
              <w:spacing w:after="0" w:line="259" w:lineRule="auto"/>
              <w:ind w:left="0" w:right="57" w:firstLine="0"/>
              <w:jc w:val="right"/>
            </w:pPr>
            <w:r>
              <w:rPr>
                <w:sz w:val="20"/>
              </w:rPr>
              <w:t xml:space="preserve">(424.819) </w:t>
            </w:r>
          </w:p>
        </w:tc>
        <w:tc>
          <w:tcPr>
            <w:tcW w:w="1295" w:type="dxa"/>
            <w:tcBorders>
              <w:top w:val="single" w:sz="4" w:space="0" w:color="000000"/>
              <w:left w:val="single" w:sz="4" w:space="0" w:color="000000"/>
              <w:bottom w:val="nil"/>
              <w:right w:val="single" w:sz="4" w:space="0" w:color="000000"/>
            </w:tcBorders>
            <w:shd w:val="clear" w:color="auto" w:fill="FFFFFF"/>
          </w:tcPr>
          <w:p w14:paraId="23A973ED" w14:textId="77777777" w:rsidR="003D3187" w:rsidRDefault="00000000">
            <w:pPr>
              <w:spacing w:after="0" w:line="259" w:lineRule="auto"/>
              <w:ind w:left="0" w:right="57" w:firstLine="0"/>
              <w:jc w:val="right"/>
            </w:pPr>
            <w:r>
              <w:rPr>
                <w:sz w:val="20"/>
              </w:rPr>
              <w:t xml:space="preserve">(445.061) </w:t>
            </w:r>
          </w:p>
        </w:tc>
        <w:tc>
          <w:tcPr>
            <w:tcW w:w="1295" w:type="dxa"/>
            <w:tcBorders>
              <w:top w:val="single" w:sz="4" w:space="0" w:color="000000"/>
              <w:left w:val="single" w:sz="4" w:space="0" w:color="000000"/>
              <w:bottom w:val="nil"/>
              <w:right w:val="single" w:sz="4" w:space="0" w:color="000000"/>
            </w:tcBorders>
            <w:shd w:val="clear" w:color="auto" w:fill="FFFFFF"/>
          </w:tcPr>
          <w:p w14:paraId="36D117C0" w14:textId="77777777" w:rsidR="003D3187" w:rsidRDefault="00000000">
            <w:pPr>
              <w:spacing w:after="0" w:line="259" w:lineRule="auto"/>
              <w:ind w:left="0" w:right="57" w:firstLine="0"/>
              <w:jc w:val="right"/>
            </w:pPr>
            <w:r>
              <w:rPr>
                <w:sz w:val="20"/>
              </w:rPr>
              <w:t xml:space="preserve">(465.951) </w:t>
            </w:r>
          </w:p>
        </w:tc>
        <w:tc>
          <w:tcPr>
            <w:tcW w:w="1295" w:type="dxa"/>
            <w:tcBorders>
              <w:top w:val="single" w:sz="4" w:space="0" w:color="000000"/>
              <w:left w:val="single" w:sz="4" w:space="0" w:color="000000"/>
              <w:bottom w:val="nil"/>
              <w:right w:val="single" w:sz="4" w:space="0" w:color="000000"/>
            </w:tcBorders>
            <w:shd w:val="clear" w:color="auto" w:fill="FFFFFF"/>
          </w:tcPr>
          <w:p w14:paraId="0E88F3A0" w14:textId="77777777" w:rsidR="003D3187" w:rsidRDefault="00000000">
            <w:pPr>
              <w:spacing w:after="0" w:line="259" w:lineRule="auto"/>
              <w:ind w:left="0" w:right="56" w:firstLine="0"/>
              <w:jc w:val="right"/>
            </w:pPr>
            <w:r>
              <w:rPr>
                <w:sz w:val="20"/>
              </w:rPr>
              <w:t xml:space="preserve">(471.991) </w:t>
            </w:r>
          </w:p>
        </w:tc>
      </w:tr>
      <w:tr w:rsidR="003D3187" w14:paraId="065262D2" w14:textId="77777777">
        <w:trPr>
          <w:trHeight w:val="293"/>
        </w:trPr>
        <w:tc>
          <w:tcPr>
            <w:tcW w:w="3629" w:type="dxa"/>
            <w:tcBorders>
              <w:top w:val="nil"/>
              <w:left w:val="single" w:sz="4" w:space="0" w:color="000000"/>
              <w:bottom w:val="single" w:sz="4" w:space="0" w:color="000000"/>
              <w:right w:val="single" w:sz="4" w:space="0" w:color="000000"/>
            </w:tcBorders>
          </w:tcPr>
          <w:p w14:paraId="3A77509A" w14:textId="77777777" w:rsidR="003D3187" w:rsidRDefault="00000000">
            <w:pPr>
              <w:spacing w:after="0" w:line="259" w:lineRule="auto"/>
              <w:ind w:left="0" w:firstLine="0"/>
            </w:pPr>
            <w:r>
              <w:rPr>
                <w:sz w:val="20"/>
              </w:rPr>
              <w:t xml:space="preserve">Exceptional Financial Support </w:t>
            </w:r>
          </w:p>
        </w:tc>
        <w:tc>
          <w:tcPr>
            <w:tcW w:w="1294" w:type="dxa"/>
            <w:tcBorders>
              <w:top w:val="nil"/>
              <w:left w:val="single" w:sz="4" w:space="0" w:color="000000"/>
              <w:bottom w:val="single" w:sz="4" w:space="0" w:color="000000"/>
              <w:right w:val="single" w:sz="4" w:space="0" w:color="000000"/>
            </w:tcBorders>
          </w:tcPr>
          <w:p w14:paraId="0E5BF5B2" w14:textId="77777777" w:rsidR="003D3187" w:rsidRDefault="00000000">
            <w:pPr>
              <w:spacing w:after="0" w:line="259" w:lineRule="auto"/>
              <w:ind w:left="0" w:right="57" w:firstLine="0"/>
              <w:jc w:val="right"/>
            </w:pPr>
            <w:r>
              <w:rPr>
                <w:sz w:val="20"/>
              </w:rPr>
              <w:t xml:space="preserve">0.000 </w:t>
            </w:r>
          </w:p>
        </w:tc>
        <w:tc>
          <w:tcPr>
            <w:tcW w:w="1295" w:type="dxa"/>
            <w:tcBorders>
              <w:top w:val="nil"/>
              <w:left w:val="single" w:sz="4" w:space="0" w:color="000000"/>
              <w:bottom w:val="single" w:sz="4" w:space="0" w:color="000000"/>
              <w:right w:val="single" w:sz="4" w:space="0" w:color="000000"/>
            </w:tcBorders>
          </w:tcPr>
          <w:p w14:paraId="78ED67A8" w14:textId="77777777" w:rsidR="003D3187" w:rsidRDefault="00000000">
            <w:pPr>
              <w:spacing w:after="0" w:line="259" w:lineRule="auto"/>
              <w:ind w:left="0" w:right="57" w:firstLine="0"/>
              <w:jc w:val="right"/>
            </w:pPr>
            <w:r>
              <w:rPr>
                <w:sz w:val="20"/>
              </w:rPr>
              <w:t xml:space="preserve">0.000 </w:t>
            </w:r>
          </w:p>
        </w:tc>
        <w:tc>
          <w:tcPr>
            <w:tcW w:w="1295" w:type="dxa"/>
            <w:tcBorders>
              <w:top w:val="nil"/>
              <w:left w:val="single" w:sz="4" w:space="0" w:color="000000"/>
              <w:bottom w:val="single" w:sz="4" w:space="0" w:color="000000"/>
              <w:right w:val="single" w:sz="4" w:space="0" w:color="000000"/>
            </w:tcBorders>
          </w:tcPr>
          <w:p w14:paraId="46AE8880" w14:textId="77777777" w:rsidR="003D3187" w:rsidRDefault="00000000">
            <w:pPr>
              <w:spacing w:after="0" w:line="259" w:lineRule="auto"/>
              <w:ind w:left="0" w:right="57" w:firstLine="0"/>
              <w:jc w:val="right"/>
            </w:pPr>
            <w:r>
              <w:rPr>
                <w:sz w:val="20"/>
              </w:rPr>
              <w:t xml:space="preserve">0.000 </w:t>
            </w:r>
          </w:p>
        </w:tc>
        <w:tc>
          <w:tcPr>
            <w:tcW w:w="1295" w:type="dxa"/>
            <w:tcBorders>
              <w:top w:val="nil"/>
              <w:left w:val="single" w:sz="4" w:space="0" w:color="000000"/>
              <w:bottom w:val="single" w:sz="4" w:space="0" w:color="000000"/>
              <w:right w:val="single" w:sz="4" w:space="0" w:color="000000"/>
            </w:tcBorders>
          </w:tcPr>
          <w:p w14:paraId="30B762B4" w14:textId="77777777" w:rsidR="003D3187" w:rsidRDefault="00000000">
            <w:pPr>
              <w:spacing w:after="0" w:line="259" w:lineRule="auto"/>
              <w:ind w:left="0" w:right="56" w:firstLine="0"/>
              <w:jc w:val="right"/>
            </w:pPr>
            <w:r>
              <w:rPr>
                <w:sz w:val="20"/>
              </w:rPr>
              <w:t xml:space="preserve">0.000 </w:t>
            </w:r>
          </w:p>
        </w:tc>
      </w:tr>
      <w:tr w:rsidR="003D3187" w14:paraId="2048B76E" w14:textId="77777777">
        <w:trPr>
          <w:trHeight w:val="297"/>
        </w:trPr>
        <w:tc>
          <w:tcPr>
            <w:tcW w:w="3629" w:type="dxa"/>
            <w:tcBorders>
              <w:top w:val="single" w:sz="4" w:space="0" w:color="000000"/>
              <w:left w:val="single" w:sz="4" w:space="0" w:color="000000"/>
              <w:bottom w:val="single" w:sz="4" w:space="0" w:color="000000"/>
              <w:right w:val="single" w:sz="4" w:space="0" w:color="000000"/>
            </w:tcBorders>
            <w:shd w:val="clear" w:color="auto" w:fill="B5E6A2"/>
          </w:tcPr>
          <w:p w14:paraId="21A5B415" w14:textId="77777777" w:rsidR="003D3187" w:rsidRDefault="00000000">
            <w:pPr>
              <w:spacing w:after="0" w:line="259" w:lineRule="auto"/>
              <w:ind w:left="0" w:firstLine="0"/>
            </w:pPr>
            <w:r>
              <w:rPr>
                <w:b/>
                <w:sz w:val="20"/>
              </w:rPr>
              <w:t xml:space="preserve">Outstanding Gap </w:t>
            </w:r>
          </w:p>
        </w:tc>
        <w:tc>
          <w:tcPr>
            <w:tcW w:w="1294" w:type="dxa"/>
            <w:tcBorders>
              <w:top w:val="single" w:sz="4" w:space="0" w:color="000000"/>
              <w:left w:val="single" w:sz="4" w:space="0" w:color="000000"/>
              <w:bottom w:val="single" w:sz="4" w:space="0" w:color="000000"/>
              <w:right w:val="single" w:sz="4" w:space="0" w:color="000000"/>
            </w:tcBorders>
            <w:shd w:val="clear" w:color="auto" w:fill="B5E6A2"/>
          </w:tcPr>
          <w:p w14:paraId="6CFA6065" w14:textId="77777777" w:rsidR="003D3187" w:rsidRDefault="00000000">
            <w:pPr>
              <w:spacing w:after="0" w:line="259" w:lineRule="auto"/>
              <w:ind w:left="0" w:right="57" w:firstLine="0"/>
              <w:jc w:val="right"/>
            </w:pPr>
            <w:r>
              <w:rPr>
                <w:b/>
                <w:sz w:val="20"/>
              </w:rPr>
              <w:t xml:space="preserve">(1.002) </w:t>
            </w:r>
          </w:p>
        </w:tc>
        <w:tc>
          <w:tcPr>
            <w:tcW w:w="1295" w:type="dxa"/>
            <w:tcBorders>
              <w:top w:val="single" w:sz="4" w:space="0" w:color="000000"/>
              <w:left w:val="single" w:sz="4" w:space="0" w:color="000000"/>
              <w:bottom w:val="single" w:sz="4" w:space="0" w:color="000000"/>
              <w:right w:val="single" w:sz="4" w:space="0" w:color="000000"/>
            </w:tcBorders>
            <w:shd w:val="clear" w:color="auto" w:fill="B5E6A2"/>
          </w:tcPr>
          <w:p w14:paraId="5C50E991" w14:textId="77777777" w:rsidR="003D3187" w:rsidRDefault="00000000">
            <w:pPr>
              <w:spacing w:after="0" w:line="259" w:lineRule="auto"/>
              <w:ind w:left="0" w:right="57" w:firstLine="0"/>
              <w:jc w:val="right"/>
            </w:pPr>
            <w:r>
              <w:rPr>
                <w:b/>
                <w:sz w:val="20"/>
              </w:rPr>
              <w:t xml:space="preserve">(3.285) </w:t>
            </w:r>
          </w:p>
        </w:tc>
        <w:tc>
          <w:tcPr>
            <w:tcW w:w="1295" w:type="dxa"/>
            <w:tcBorders>
              <w:top w:val="single" w:sz="4" w:space="0" w:color="000000"/>
              <w:left w:val="single" w:sz="4" w:space="0" w:color="000000"/>
              <w:bottom w:val="single" w:sz="4" w:space="0" w:color="000000"/>
              <w:right w:val="single" w:sz="4" w:space="0" w:color="000000"/>
            </w:tcBorders>
            <w:shd w:val="clear" w:color="auto" w:fill="B5E6A2"/>
          </w:tcPr>
          <w:p w14:paraId="271D48A7" w14:textId="77777777" w:rsidR="003D3187" w:rsidRDefault="00000000">
            <w:pPr>
              <w:spacing w:after="0" w:line="259" w:lineRule="auto"/>
              <w:ind w:left="0" w:right="57" w:firstLine="0"/>
              <w:jc w:val="right"/>
            </w:pPr>
            <w:r>
              <w:rPr>
                <w:b/>
                <w:sz w:val="20"/>
              </w:rPr>
              <w:t xml:space="preserve">(3.191) </w:t>
            </w:r>
          </w:p>
        </w:tc>
        <w:tc>
          <w:tcPr>
            <w:tcW w:w="1295" w:type="dxa"/>
            <w:tcBorders>
              <w:top w:val="single" w:sz="4" w:space="0" w:color="000000"/>
              <w:left w:val="single" w:sz="4" w:space="0" w:color="000000"/>
              <w:bottom w:val="single" w:sz="4" w:space="0" w:color="000000"/>
              <w:right w:val="single" w:sz="4" w:space="0" w:color="000000"/>
            </w:tcBorders>
            <w:shd w:val="clear" w:color="auto" w:fill="B5E6A2"/>
          </w:tcPr>
          <w:p w14:paraId="2978F481" w14:textId="77777777" w:rsidR="003D3187" w:rsidRDefault="00000000">
            <w:pPr>
              <w:spacing w:after="0" w:line="259" w:lineRule="auto"/>
              <w:ind w:left="0" w:right="56" w:firstLine="0"/>
              <w:jc w:val="right"/>
            </w:pPr>
            <w:r>
              <w:rPr>
                <w:b/>
                <w:sz w:val="20"/>
              </w:rPr>
              <w:t xml:space="preserve">14.791 </w:t>
            </w:r>
          </w:p>
        </w:tc>
      </w:tr>
    </w:tbl>
    <w:p w14:paraId="20B1C424" w14:textId="77777777" w:rsidR="003D3187" w:rsidRDefault="00000000">
      <w:pPr>
        <w:spacing w:after="0" w:line="259" w:lineRule="auto"/>
        <w:ind w:left="981" w:firstLine="0"/>
      </w:pPr>
      <w:r>
        <w:t xml:space="preserve"> </w:t>
      </w:r>
    </w:p>
    <w:p w14:paraId="5EBE5000" w14:textId="77777777" w:rsidR="003D3187" w:rsidRDefault="00000000">
      <w:pPr>
        <w:pStyle w:val="Heading1"/>
        <w:spacing w:after="135"/>
        <w:ind w:left="784" w:right="533"/>
      </w:pPr>
      <w:r>
        <w:t xml:space="preserve">7. Concluding comments </w:t>
      </w:r>
    </w:p>
    <w:p w14:paraId="460FEF4F" w14:textId="77777777" w:rsidR="003D3187" w:rsidRDefault="00000000">
      <w:pPr>
        <w:spacing w:after="0"/>
        <w:ind w:left="1336" w:right="450"/>
      </w:pPr>
      <w:r>
        <w:t>7.1</w:t>
      </w:r>
      <w:r>
        <w:rPr>
          <w:rFonts w:ascii="Calibri" w:eastAsia="Calibri" w:hAnsi="Calibri" w:cs="Calibri"/>
          <w:sz w:val="22"/>
        </w:rPr>
        <w:t xml:space="preserve"> </w:t>
      </w:r>
      <w:r>
        <w:t xml:space="preserve">As currently constituted, the 2026/27 Budget formulation and associated MTFP position illustrates a positive pathway towards a fully balanced budget and stability over the course of the MTFP with opportunity to take out any future </w:t>
      </w:r>
    </w:p>
    <w:p w14:paraId="6C5C8556" w14:textId="77777777" w:rsidR="003D3187" w:rsidRDefault="00000000">
      <w:pPr>
        <w:ind w:left="1344" w:right="450" w:firstLine="0"/>
      </w:pPr>
      <w:r>
        <w:t>structural deficits and allow, where possible additional investment opportunities that will improve service delivery outcomes.</w:t>
      </w:r>
      <w:r>
        <w:rPr>
          <w:rFonts w:ascii="Calibri" w:eastAsia="Calibri" w:hAnsi="Calibri" w:cs="Calibri"/>
          <w:sz w:val="22"/>
        </w:rPr>
        <w:t xml:space="preserve"> </w:t>
      </w:r>
      <w:r>
        <w:rPr>
          <w:rFonts w:ascii="Calibri" w:eastAsia="Calibri" w:hAnsi="Calibri" w:cs="Calibri"/>
          <w:sz w:val="22"/>
        </w:rPr>
        <w:tab/>
        <w:t xml:space="preserve"> </w:t>
      </w:r>
      <w:r>
        <w:br w:type="page"/>
      </w:r>
    </w:p>
    <w:p w14:paraId="347413B4" w14:textId="77777777" w:rsidR="003D3187" w:rsidRDefault="00000000">
      <w:pPr>
        <w:spacing w:after="0" w:line="259" w:lineRule="auto"/>
        <w:ind w:left="981" w:firstLine="0"/>
      </w:pPr>
      <w:r>
        <w:t xml:space="preserve"> </w:t>
      </w:r>
    </w:p>
    <w:p w14:paraId="6424A3C0" w14:textId="77777777" w:rsidR="003D3187" w:rsidRDefault="00000000">
      <w:pPr>
        <w:pStyle w:val="Heading1"/>
        <w:ind w:left="784" w:right="533"/>
      </w:pPr>
      <w:r>
        <w:t xml:space="preserve">8. Other options considered and reasons why these were rejected </w:t>
      </w:r>
    </w:p>
    <w:p w14:paraId="6CAAE1E7" w14:textId="77777777" w:rsidR="003D3187" w:rsidRDefault="00000000">
      <w:pPr>
        <w:spacing w:after="0" w:line="259" w:lineRule="auto"/>
        <w:ind w:left="414" w:firstLine="0"/>
      </w:pPr>
      <w:r>
        <w:rPr>
          <w:b/>
        </w:rPr>
        <w:t xml:space="preserve"> </w:t>
      </w:r>
    </w:p>
    <w:p w14:paraId="72A93CFF" w14:textId="77777777" w:rsidR="003D3187" w:rsidRDefault="00000000">
      <w:pPr>
        <w:ind w:left="1336" w:right="450"/>
      </w:pPr>
      <w:r>
        <w:t xml:space="preserve">8.1 It is a legal requirement to set a balanced budget and therefore, no alternative options were considered.  Each individual proposal as detailed within the report </w:t>
      </w:r>
    </w:p>
    <w:p w14:paraId="6195F9FF" w14:textId="77777777" w:rsidR="003D3187" w:rsidRDefault="00000000">
      <w:pPr>
        <w:spacing w:after="0" w:line="259" w:lineRule="auto"/>
        <w:ind w:left="414" w:firstLine="0"/>
      </w:pPr>
      <w:r>
        <w:t xml:space="preserve"> </w:t>
      </w:r>
    </w:p>
    <w:p w14:paraId="51A4931D" w14:textId="77777777" w:rsidR="003D3187" w:rsidRDefault="00000000">
      <w:pPr>
        <w:numPr>
          <w:ilvl w:val="0"/>
          <w:numId w:val="10"/>
        </w:numPr>
        <w:spacing w:after="135" w:line="262" w:lineRule="auto"/>
        <w:ind w:right="533" w:hanging="360"/>
      </w:pPr>
      <w:r>
        <w:rPr>
          <w:b/>
        </w:rPr>
        <w:t xml:space="preserve">Consideration of risk and mitigations </w:t>
      </w:r>
    </w:p>
    <w:p w14:paraId="31AC9375" w14:textId="77777777" w:rsidR="003D3187" w:rsidRDefault="00000000">
      <w:pPr>
        <w:ind w:left="759" w:right="450" w:firstLine="0"/>
      </w:pPr>
      <w:r>
        <w:t xml:space="preserve">9.1 Risks and Mitigations are detailed throughout the report. </w:t>
      </w:r>
    </w:p>
    <w:p w14:paraId="44A1B3C3" w14:textId="77777777" w:rsidR="003D3187" w:rsidRDefault="00000000">
      <w:pPr>
        <w:spacing w:after="0" w:line="259" w:lineRule="auto"/>
        <w:ind w:left="1134" w:firstLine="0"/>
      </w:pPr>
      <w:r>
        <w:t xml:space="preserve"> </w:t>
      </w:r>
    </w:p>
    <w:p w14:paraId="0A7A2BE4" w14:textId="77777777" w:rsidR="003D3187" w:rsidRDefault="00000000">
      <w:pPr>
        <w:spacing w:after="0" w:line="259" w:lineRule="auto"/>
        <w:ind w:left="981" w:firstLine="0"/>
      </w:pPr>
      <w:r>
        <w:rPr>
          <w:b/>
        </w:rPr>
        <w:t xml:space="preserve"> </w:t>
      </w:r>
    </w:p>
    <w:p w14:paraId="0BF27A76" w14:textId="77777777" w:rsidR="003D3187" w:rsidRDefault="00000000">
      <w:pPr>
        <w:pStyle w:val="Heading1"/>
        <w:spacing w:after="0" w:line="259" w:lineRule="auto"/>
        <w:ind w:left="340"/>
      </w:pPr>
      <w:r>
        <w:rPr>
          <w:u w:val="single" w:color="000000"/>
        </w:rPr>
        <w:t>Comments and considerations</w:t>
      </w:r>
      <w:r>
        <w:t xml:space="preserve"> </w:t>
      </w:r>
    </w:p>
    <w:p w14:paraId="7050AFEB" w14:textId="77777777" w:rsidR="003D3187" w:rsidRDefault="00000000">
      <w:pPr>
        <w:spacing w:after="0" w:line="259" w:lineRule="auto"/>
        <w:ind w:left="981" w:firstLine="0"/>
      </w:pPr>
      <w:r>
        <w:rPr>
          <w:b/>
        </w:rPr>
        <w:t xml:space="preserve"> </w:t>
      </w:r>
    </w:p>
    <w:p w14:paraId="6279CD45" w14:textId="77777777" w:rsidR="003D3187" w:rsidRDefault="00000000">
      <w:pPr>
        <w:numPr>
          <w:ilvl w:val="0"/>
          <w:numId w:val="11"/>
        </w:numPr>
        <w:spacing w:after="1" w:line="262" w:lineRule="auto"/>
        <w:ind w:right="533" w:hanging="357"/>
      </w:pPr>
      <w:r>
        <w:rPr>
          <w:b/>
        </w:rPr>
        <w:t xml:space="preserve">Commissioner comments </w:t>
      </w:r>
    </w:p>
    <w:p w14:paraId="75C4B67E" w14:textId="77777777" w:rsidR="003D3187" w:rsidRDefault="00000000">
      <w:pPr>
        <w:spacing w:after="0" w:line="259" w:lineRule="auto"/>
        <w:ind w:left="981" w:firstLine="0"/>
      </w:pPr>
      <w:r>
        <w:rPr>
          <w:b/>
        </w:rPr>
        <w:t xml:space="preserve"> </w:t>
      </w:r>
    </w:p>
    <w:p w14:paraId="1699E53B" w14:textId="77777777" w:rsidR="003D3187" w:rsidRDefault="00000000">
      <w:pPr>
        <w:ind w:left="759" w:right="450" w:firstLine="0"/>
      </w:pPr>
      <w:r>
        <w:t>10.1</w:t>
      </w:r>
      <w:r>
        <w:rPr>
          <w:rFonts w:ascii="Calibri" w:eastAsia="Calibri" w:hAnsi="Calibri" w:cs="Calibri"/>
          <w:b/>
          <w:sz w:val="22"/>
        </w:rPr>
        <w:t xml:space="preserve"> </w:t>
      </w:r>
      <w:r>
        <w:t>Commissioners have reviewed the report and are content for it to proceed.</w:t>
      </w:r>
      <w:r>
        <w:rPr>
          <w:rFonts w:ascii="Calibri" w:eastAsia="Calibri" w:hAnsi="Calibri" w:cs="Calibri"/>
          <w:b/>
          <w:sz w:val="22"/>
        </w:rPr>
        <w:t xml:space="preserve"> </w:t>
      </w:r>
    </w:p>
    <w:p w14:paraId="28FBB9D0" w14:textId="77777777" w:rsidR="003D3187" w:rsidRDefault="00000000">
      <w:pPr>
        <w:spacing w:after="0" w:line="259" w:lineRule="auto"/>
        <w:ind w:left="981" w:firstLine="0"/>
      </w:pPr>
      <w:r>
        <w:rPr>
          <w:b/>
        </w:rPr>
        <w:t xml:space="preserve"> </w:t>
      </w:r>
    </w:p>
    <w:p w14:paraId="5C142EF0" w14:textId="77777777" w:rsidR="003D3187" w:rsidRDefault="00000000">
      <w:pPr>
        <w:pStyle w:val="Heading2"/>
        <w:ind w:left="781" w:right="533"/>
      </w:pPr>
      <w:r>
        <w:t xml:space="preserve">11. Finance  </w:t>
      </w:r>
    </w:p>
    <w:p w14:paraId="0D5986E1" w14:textId="77777777" w:rsidR="003D3187" w:rsidRDefault="00000000">
      <w:pPr>
        <w:spacing w:after="0" w:line="259" w:lineRule="auto"/>
        <w:ind w:left="981" w:firstLine="0"/>
      </w:pPr>
      <w:r>
        <w:rPr>
          <w:b/>
        </w:rPr>
        <w:t xml:space="preserve"> </w:t>
      </w:r>
    </w:p>
    <w:p w14:paraId="3E982979" w14:textId="77777777" w:rsidR="003D3187" w:rsidRDefault="00000000">
      <w:pPr>
        <w:ind w:left="759" w:right="450" w:firstLine="0"/>
      </w:pPr>
      <w:r>
        <w:t xml:space="preserve">11.1 Total value of the decision: Details contained throughout the report. </w:t>
      </w:r>
    </w:p>
    <w:p w14:paraId="6E7BE896" w14:textId="77777777" w:rsidR="003D3187" w:rsidRDefault="00000000">
      <w:pPr>
        <w:spacing w:after="10"/>
        <w:ind w:left="1366" w:right="45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5B1FF89" wp14:editId="68A4F146">
                <wp:simplePos x="0" y="0"/>
                <wp:positionH relativeFrom="column">
                  <wp:posOffset>867410</wp:posOffset>
                </wp:positionH>
                <wp:positionV relativeFrom="paragraph">
                  <wp:posOffset>-18029</wp:posOffset>
                </wp:positionV>
                <wp:extent cx="147307" cy="322555"/>
                <wp:effectExtent l="0" t="0" r="0" b="0"/>
                <wp:wrapSquare wrapText="bothSides"/>
                <wp:docPr id="59840" name="Group 59840"/>
                <wp:cNvGraphicFramePr/>
                <a:graphic xmlns:a="http://schemas.openxmlformats.org/drawingml/2006/main">
                  <a:graphicData uri="http://schemas.microsoft.com/office/word/2010/wordprocessingGroup">
                    <wpg:wgp>
                      <wpg:cNvGrpSpPr/>
                      <wpg:grpSpPr>
                        <a:xfrm>
                          <a:off x="0" y="0"/>
                          <a:ext cx="147307" cy="322555"/>
                          <a:chOff x="0" y="0"/>
                          <a:chExt cx="147307" cy="322555"/>
                        </a:xfrm>
                      </wpg:grpSpPr>
                      <wps:wsp>
                        <wps:cNvPr id="2937" name="Shape 2937"/>
                        <wps:cNvSpPr/>
                        <wps:spPr>
                          <a:xfrm>
                            <a:off x="0" y="0"/>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2947" name="Shape 2947"/>
                        <wps:cNvSpPr/>
                        <wps:spPr>
                          <a:xfrm>
                            <a:off x="0" y="175247"/>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840" style="width:11.599pt;height:25.398pt;position:absolute;mso-position-horizontal-relative:text;mso-position-horizontal:absolute;margin-left:68.3pt;mso-position-vertical-relative:text;margin-top:-1.41968pt;" coordsize="1473,3225">
                <v:shape id="Shape 2937" style="position:absolute;width:1473;height:1473;left:0;top:0;" coordsize="147307,147307" path="m0,0l147307,0l147307,147307l0,147307x">
                  <v:stroke weight="0.7pt" endcap="flat" joinstyle="miter" miterlimit="10" on="true" color="#000000"/>
                  <v:fill on="false" color="#000000" opacity="0"/>
                </v:shape>
                <v:shape id="Shape 2947" style="position:absolute;width:1473;height:1473;left:0;top:1752;" coordsize="147307,147307" path="m0,0l147307,0l147307,147307l0,147307x">
                  <v:stroke weight="0.7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AC907B6" wp14:editId="2D399F92">
                <wp:simplePos x="0" y="0"/>
                <wp:positionH relativeFrom="column">
                  <wp:posOffset>2067497</wp:posOffset>
                </wp:positionH>
                <wp:positionV relativeFrom="paragraph">
                  <wp:posOffset>-18029</wp:posOffset>
                </wp:positionV>
                <wp:extent cx="147523" cy="322555"/>
                <wp:effectExtent l="0" t="0" r="0" b="0"/>
                <wp:wrapSquare wrapText="bothSides"/>
                <wp:docPr id="59843" name="Group 59843"/>
                <wp:cNvGraphicFramePr/>
                <a:graphic xmlns:a="http://schemas.openxmlformats.org/drawingml/2006/main">
                  <a:graphicData uri="http://schemas.microsoft.com/office/word/2010/wordprocessingGroup">
                    <wpg:wgp>
                      <wpg:cNvGrpSpPr/>
                      <wpg:grpSpPr>
                        <a:xfrm>
                          <a:off x="0" y="0"/>
                          <a:ext cx="147523" cy="322555"/>
                          <a:chOff x="0" y="0"/>
                          <a:chExt cx="147523" cy="322555"/>
                        </a:xfrm>
                      </wpg:grpSpPr>
                      <wps:wsp>
                        <wps:cNvPr id="2940" name="Shape 2940"/>
                        <wps:cNvSpPr/>
                        <wps:spPr>
                          <a:xfrm>
                            <a:off x="0" y="0"/>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2950" name="Shape 2950"/>
                        <wps:cNvSpPr/>
                        <wps:spPr>
                          <a:xfrm>
                            <a:off x="216" y="175247"/>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843" style="width:11.616pt;height:25.398pt;position:absolute;mso-position-horizontal-relative:text;mso-position-horizontal:absolute;margin-left:162.795pt;mso-position-vertical-relative:text;margin-top:-1.41968pt;" coordsize="1475,3225">
                <v:shape id="Shape 2940" style="position:absolute;width:1473;height:1473;left:0;top:0;" coordsize="147307,147307" path="m0,0l147307,0l147307,147307l0,147307x">
                  <v:stroke weight="0.7pt" endcap="flat" joinstyle="miter" miterlimit="10" on="true" color="#000000"/>
                  <v:fill on="false" color="#000000" opacity="0"/>
                </v:shape>
                <v:shape id="Shape 2950" style="position:absolute;width:1473;height:1473;left:2;top:1752;" coordsize="147307,147307" path="m0,0l147307,0l147307,147307l0,147307x">
                  <v:stroke weight="0.7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6AB5E56" wp14:editId="474EC8DB">
                <wp:simplePos x="0" y="0"/>
                <wp:positionH relativeFrom="column">
                  <wp:posOffset>3022156</wp:posOffset>
                </wp:positionH>
                <wp:positionV relativeFrom="paragraph">
                  <wp:posOffset>-18029</wp:posOffset>
                </wp:positionV>
                <wp:extent cx="164274" cy="322555"/>
                <wp:effectExtent l="0" t="0" r="0" b="0"/>
                <wp:wrapSquare wrapText="bothSides"/>
                <wp:docPr id="59845" name="Group 59845"/>
                <wp:cNvGraphicFramePr/>
                <a:graphic xmlns:a="http://schemas.openxmlformats.org/drawingml/2006/main">
                  <a:graphicData uri="http://schemas.microsoft.com/office/word/2010/wordprocessingGroup">
                    <wpg:wgp>
                      <wpg:cNvGrpSpPr/>
                      <wpg:grpSpPr>
                        <a:xfrm>
                          <a:off x="0" y="0"/>
                          <a:ext cx="164274" cy="322555"/>
                          <a:chOff x="0" y="0"/>
                          <a:chExt cx="164274" cy="322555"/>
                        </a:xfrm>
                      </wpg:grpSpPr>
                      <wps:wsp>
                        <wps:cNvPr id="2943" name="Shape 2943"/>
                        <wps:cNvSpPr/>
                        <wps:spPr>
                          <a:xfrm>
                            <a:off x="0" y="0"/>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2953" name="Shape 2953"/>
                        <wps:cNvSpPr/>
                        <wps:spPr>
                          <a:xfrm>
                            <a:off x="16967" y="175247"/>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845" style="width:12.935pt;height:25.398pt;position:absolute;mso-position-horizontal-relative:text;mso-position-horizontal:absolute;margin-left:237.965pt;mso-position-vertical-relative:text;margin-top:-1.41968pt;" coordsize="1642,3225">
                <v:shape id="Shape 2943" style="position:absolute;width:1473;height:1473;left:0;top:0;" coordsize="147307,147307" path="m0,0l147307,0l147307,147307l0,147307x">
                  <v:stroke weight="0.7pt" endcap="flat" joinstyle="miter" miterlimit="10" on="true" color="#000000"/>
                  <v:fill on="false" color="#000000" opacity="0"/>
                </v:shape>
                <v:shape id="Shape 2953" style="position:absolute;width:1473;height:1473;left:169;top:1752;" coordsize="147307,147307" path="m0,0l147307,0l147307,147307l0,147307x">
                  <v:stroke weight="0.7pt" endcap="flat" joinstyle="miter" miterlimit="10" on="true" color="#000000"/>
                  <v:fill on="false" color="#000000" opacity="0"/>
                </v:shape>
                <w10:wrap type="square"/>
              </v:group>
            </w:pict>
          </mc:Fallback>
        </mc:AlternateContent>
      </w:r>
      <w:r>
        <w:t xml:space="preserve"> Capital             Revenue    N/a </w:t>
      </w:r>
    </w:p>
    <w:p w14:paraId="2296B655" w14:textId="77777777" w:rsidR="003D3187" w:rsidRDefault="00000000">
      <w:pPr>
        <w:tabs>
          <w:tab w:val="center" w:pos="2294"/>
          <w:tab w:val="center" w:pos="3937"/>
          <w:tab w:val="center" w:pos="5925"/>
        </w:tabs>
        <w:spacing w:after="10"/>
        <w:ind w:left="0" w:firstLine="0"/>
      </w:pPr>
      <w:r>
        <w:rPr>
          <w:rFonts w:ascii="Calibri" w:eastAsia="Calibri" w:hAnsi="Calibri" w:cs="Calibri"/>
          <w:sz w:val="22"/>
        </w:rPr>
        <w:tab/>
      </w:r>
      <w:r>
        <w:t xml:space="preserve"> Expenditure    </w:t>
      </w:r>
      <w:r>
        <w:tab/>
        <w:t xml:space="preserve"> Income      </w:t>
      </w:r>
      <w:r>
        <w:tab/>
        <w:t xml:space="preserve"> Savings  </w:t>
      </w:r>
      <w:r>
        <w:rPr>
          <w:rFonts w:ascii="Calibri" w:eastAsia="Calibri" w:hAnsi="Calibri" w:cs="Calibri"/>
          <w:noProof/>
          <w:sz w:val="22"/>
        </w:rPr>
        <mc:AlternateContent>
          <mc:Choice Requires="wpg">
            <w:drawing>
              <wp:inline distT="0" distB="0" distL="0" distR="0" wp14:anchorId="347C5B91" wp14:editId="21D193A2">
                <wp:extent cx="147307" cy="147307"/>
                <wp:effectExtent l="0" t="0" r="0" b="0"/>
                <wp:docPr id="59846" name="Group 59846"/>
                <wp:cNvGraphicFramePr/>
                <a:graphic xmlns:a="http://schemas.openxmlformats.org/drawingml/2006/main">
                  <a:graphicData uri="http://schemas.microsoft.com/office/word/2010/wordprocessingGroup">
                    <wpg:wgp>
                      <wpg:cNvGrpSpPr/>
                      <wpg:grpSpPr>
                        <a:xfrm>
                          <a:off x="0" y="0"/>
                          <a:ext cx="147307" cy="147307"/>
                          <a:chOff x="0" y="0"/>
                          <a:chExt cx="147307" cy="147307"/>
                        </a:xfrm>
                      </wpg:grpSpPr>
                      <wps:wsp>
                        <wps:cNvPr id="2956" name="Shape 2956"/>
                        <wps:cNvSpPr/>
                        <wps:spPr>
                          <a:xfrm>
                            <a:off x="0" y="0"/>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846" style="width:11.599pt;height:11.599pt;mso-position-horizontal-relative:char;mso-position-vertical-relative:line" coordsize="1473,1473">
                <v:shape id="Shape 2956" style="position:absolute;width:1473;height:1473;left:0;top:0;" coordsize="147307,147307" path="m0,0l147307,0l147307,147307l0,147307x">
                  <v:stroke weight="0.7pt" endcap="flat" joinstyle="miter" miterlimit="10" on="true" color="#000000"/>
                  <v:fill on="false" color="#000000" opacity="0"/>
                </v:shape>
              </v:group>
            </w:pict>
          </mc:Fallback>
        </mc:AlternateContent>
      </w:r>
      <w:r>
        <w:t xml:space="preserve"> N/a </w:t>
      </w:r>
    </w:p>
    <w:p w14:paraId="0ADDADD4" w14:textId="77777777" w:rsidR="003D3187" w:rsidRDefault="00000000">
      <w:pPr>
        <w:spacing w:after="0" w:line="259" w:lineRule="auto"/>
        <w:ind w:left="1344" w:firstLine="0"/>
      </w:pPr>
      <w:r>
        <w:t xml:space="preserve"> </w:t>
      </w:r>
    </w:p>
    <w:p w14:paraId="75625469" w14:textId="77777777" w:rsidR="003D3187" w:rsidRDefault="00000000">
      <w:pPr>
        <w:spacing w:after="0"/>
        <w:ind w:left="1336" w:right="450"/>
      </w:pPr>
      <w:r>
        <w:t>11.2</w:t>
      </w:r>
      <w:r>
        <w:rPr>
          <w:rFonts w:ascii="Calibri" w:eastAsia="Calibri" w:hAnsi="Calibri" w:cs="Calibri"/>
          <w:sz w:val="22"/>
        </w:rPr>
        <w:t xml:space="preserve"> </w:t>
      </w:r>
      <w:r>
        <w:t>There is a statutory requirement to produce an annual budget.  The draft budget contains a range of investment decision, savings and writing out of savings for the new financial year. Report details contain all financial implications throughout the report.</w:t>
      </w:r>
      <w:r>
        <w:rPr>
          <w:rFonts w:ascii="Calibri" w:eastAsia="Calibri" w:hAnsi="Calibri" w:cs="Calibri"/>
          <w:sz w:val="22"/>
        </w:rPr>
        <w:t xml:space="preserve"> </w:t>
      </w:r>
    </w:p>
    <w:p w14:paraId="584D3B67" w14:textId="77777777" w:rsidR="003D3187" w:rsidRDefault="00000000">
      <w:pPr>
        <w:spacing w:after="147" w:line="259" w:lineRule="auto"/>
        <w:ind w:left="1344" w:firstLine="0"/>
      </w:pPr>
      <w:r>
        <w:rPr>
          <w:rFonts w:ascii="Calibri" w:eastAsia="Calibri" w:hAnsi="Calibri" w:cs="Calibri"/>
          <w:sz w:val="22"/>
        </w:rPr>
        <w:t xml:space="preserve"> </w:t>
      </w:r>
    </w:p>
    <w:p w14:paraId="25ECB09E" w14:textId="77777777" w:rsidR="003D3187" w:rsidRDefault="00000000">
      <w:pPr>
        <w:ind w:left="1336" w:right="45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00196C0C" wp14:editId="6A52B2B1">
                <wp:simplePos x="0" y="0"/>
                <wp:positionH relativeFrom="column">
                  <wp:posOffset>5439626</wp:posOffset>
                </wp:positionH>
                <wp:positionV relativeFrom="paragraph">
                  <wp:posOffset>-18029</wp:posOffset>
                </wp:positionV>
                <wp:extent cx="644398" cy="147307"/>
                <wp:effectExtent l="0" t="0" r="0" b="0"/>
                <wp:wrapNone/>
                <wp:docPr id="59848" name="Group 59848"/>
                <wp:cNvGraphicFramePr/>
                <a:graphic xmlns:a="http://schemas.openxmlformats.org/drawingml/2006/main">
                  <a:graphicData uri="http://schemas.microsoft.com/office/word/2010/wordprocessingGroup">
                    <wpg:wgp>
                      <wpg:cNvGrpSpPr/>
                      <wpg:grpSpPr>
                        <a:xfrm>
                          <a:off x="0" y="0"/>
                          <a:ext cx="644398" cy="147307"/>
                          <a:chOff x="0" y="0"/>
                          <a:chExt cx="644398" cy="147307"/>
                        </a:xfrm>
                      </wpg:grpSpPr>
                      <wps:wsp>
                        <wps:cNvPr id="2975" name="Shape 2975"/>
                        <wps:cNvSpPr/>
                        <wps:spPr>
                          <a:xfrm>
                            <a:off x="0" y="0"/>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497091" y="0"/>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497091" y="0"/>
                            <a:ext cx="147307" cy="147307"/>
                          </a:xfrm>
                          <a:custGeom>
                            <a:avLst/>
                            <a:gdLst/>
                            <a:ahLst/>
                            <a:cxnLst/>
                            <a:rect l="0" t="0" r="0" b="0"/>
                            <a:pathLst>
                              <a:path w="147307" h="147307">
                                <a:moveTo>
                                  <a:pt x="0" y="0"/>
                                </a:moveTo>
                                <a:lnTo>
                                  <a:pt x="147307" y="14730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497091" y="0"/>
                            <a:ext cx="147307" cy="147307"/>
                          </a:xfrm>
                          <a:custGeom>
                            <a:avLst/>
                            <a:gdLst/>
                            <a:ahLst/>
                            <a:cxnLst/>
                            <a:rect l="0" t="0" r="0" b="0"/>
                            <a:pathLst>
                              <a:path w="147307" h="147307">
                                <a:moveTo>
                                  <a:pt x="147307" y="0"/>
                                </a:moveTo>
                                <a:lnTo>
                                  <a:pt x="0" y="14730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848" style="width:50.74pt;height:11.599pt;position:absolute;z-index:-2147483560;mso-position-horizontal-relative:text;mso-position-horizontal:absolute;margin-left:428.317pt;mso-position-vertical-relative:text;margin-top:-1.41968pt;" coordsize="6443,1473">
                <v:shape id="Shape 2975" style="position:absolute;width:1473;height:1473;left:0;top:0;" coordsize="147307,147307" path="m0,0l147307,0l147307,147307l0,147307x">
                  <v:stroke weight="0.7pt" endcap="flat" joinstyle="miter" miterlimit="10" on="true" color="#000000"/>
                  <v:fill on="false" color="#000000" opacity="0"/>
                </v:shape>
                <v:shape id="Shape 2978" style="position:absolute;width:1473;height:1473;left:4970;top:0;" coordsize="147307,147307" path="m0,0l147307,0l147307,147307l0,147307x">
                  <v:stroke weight="0.7pt" endcap="flat" joinstyle="miter" miterlimit="10" on="true" color="#000000"/>
                  <v:fill on="false" color="#000000" opacity="0"/>
                </v:shape>
                <v:shape id="Shape 2979" style="position:absolute;width:1473;height:1473;left:4970;top:0;" coordsize="147307,147307" path="m0,0l147307,147307">
                  <v:stroke weight="0.5pt" endcap="flat" joinstyle="miter" miterlimit="10" on="true" color="#000000"/>
                  <v:fill on="false" color="#000000" opacity="0"/>
                </v:shape>
                <v:shape id="Shape 2980" style="position:absolute;width:1473;height:1473;left:4970;top:0;" coordsize="147307,147307" path="m147307,0l0,147307">
                  <v:stroke weight="0.5pt" endcap="flat" joinstyle="miter" miterlimit="10" on="true" color="#000000"/>
                  <v:fill on="false" color="#000000" opacity="0"/>
                </v:shape>
              </v:group>
            </w:pict>
          </mc:Fallback>
        </mc:AlternateContent>
      </w:r>
      <w:r>
        <w:t xml:space="preserve">11.3 Has the spend been approved by the Section 151 Officer?  </w:t>
      </w:r>
      <w:r>
        <w:rPr>
          <w:rFonts w:ascii="Calibri" w:eastAsia="Calibri" w:hAnsi="Calibri" w:cs="Calibri"/>
          <w:noProof/>
          <w:sz w:val="22"/>
        </w:rPr>
        <mc:AlternateContent>
          <mc:Choice Requires="wpg">
            <w:drawing>
              <wp:inline distT="0" distB="0" distL="0" distR="0" wp14:anchorId="019E2233" wp14:editId="2A929CE0">
                <wp:extent cx="147307" cy="147307"/>
                <wp:effectExtent l="0" t="0" r="0" b="0"/>
                <wp:docPr id="59847" name="Group 59847"/>
                <wp:cNvGraphicFramePr/>
                <a:graphic xmlns:a="http://schemas.openxmlformats.org/drawingml/2006/main">
                  <a:graphicData uri="http://schemas.microsoft.com/office/word/2010/wordprocessingGroup">
                    <wpg:wgp>
                      <wpg:cNvGrpSpPr/>
                      <wpg:grpSpPr>
                        <a:xfrm>
                          <a:off x="0" y="0"/>
                          <a:ext cx="147307" cy="147307"/>
                          <a:chOff x="0" y="0"/>
                          <a:chExt cx="147307" cy="147307"/>
                        </a:xfrm>
                      </wpg:grpSpPr>
                      <wps:wsp>
                        <wps:cNvPr id="2972" name="Shape 2972"/>
                        <wps:cNvSpPr/>
                        <wps:spPr>
                          <a:xfrm>
                            <a:off x="0" y="0"/>
                            <a:ext cx="147307" cy="147307"/>
                          </a:xfrm>
                          <a:custGeom>
                            <a:avLst/>
                            <a:gdLst/>
                            <a:ahLst/>
                            <a:cxnLst/>
                            <a:rect l="0" t="0" r="0" b="0"/>
                            <a:pathLst>
                              <a:path w="147307" h="147307">
                                <a:moveTo>
                                  <a:pt x="0" y="0"/>
                                </a:moveTo>
                                <a:lnTo>
                                  <a:pt x="147307" y="0"/>
                                </a:lnTo>
                                <a:lnTo>
                                  <a:pt x="147307" y="147307"/>
                                </a:lnTo>
                                <a:lnTo>
                                  <a:pt x="0" y="147307"/>
                                </a:lnTo>
                                <a:close/>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847" style="width:11.599pt;height:11.599pt;mso-position-horizontal-relative:char;mso-position-vertical-relative:line" coordsize="1473,1473">
                <v:shape id="Shape 2972" style="position:absolute;width:1473;height:1473;left:0;top:0;" coordsize="147307,147307" path="m0,0l147307,0l147307,147307l0,147307x">
                  <v:stroke weight="0.7pt" endcap="flat" joinstyle="miter" miterlimit="10" on="true" color="#000000"/>
                  <v:fill on="false" color="#000000" opacity="0"/>
                </v:shape>
              </v:group>
            </w:pict>
          </mc:Fallback>
        </mc:AlternateContent>
      </w:r>
      <w:r>
        <w:t xml:space="preserve">  Yes </w:t>
      </w:r>
      <w:r>
        <w:tab/>
        <w:t xml:space="preserve">  No </w:t>
      </w:r>
      <w:r>
        <w:tab/>
        <w:t xml:space="preserve"> N/A </w:t>
      </w:r>
    </w:p>
    <w:p w14:paraId="04405AD8" w14:textId="77777777" w:rsidR="003D3187" w:rsidRDefault="00000000">
      <w:pPr>
        <w:spacing w:after="0" w:line="259" w:lineRule="auto"/>
        <w:ind w:left="981" w:firstLine="0"/>
      </w:pPr>
      <w:r>
        <w:rPr>
          <w:b/>
        </w:rPr>
        <w:t xml:space="preserve"> </w:t>
      </w:r>
    </w:p>
    <w:p w14:paraId="33E9C1D9" w14:textId="77777777" w:rsidR="003D3187" w:rsidRDefault="00000000">
      <w:pPr>
        <w:pStyle w:val="Heading2"/>
        <w:ind w:left="781" w:right="533"/>
      </w:pPr>
      <w:r>
        <w:t xml:space="preserve">12. Legal  </w:t>
      </w:r>
    </w:p>
    <w:p w14:paraId="29BE7035" w14:textId="77777777" w:rsidR="003D3187" w:rsidRDefault="00000000">
      <w:pPr>
        <w:spacing w:after="0" w:line="259" w:lineRule="auto"/>
        <w:ind w:left="414" w:firstLine="0"/>
      </w:pPr>
      <w:r>
        <w:rPr>
          <w:b/>
        </w:rPr>
        <w:t xml:space="preserve"> </w:t>
      </w:r>
    </w:p>
    <w:p w14:paraId="09E37AF2" w14:textId="77777777" w:rsidR="003D3187" w:rsidRDefault="00000000">
      <w:pPr>
        <w:ind w:left="1336" w:right="450"/>
      </w:pPr>
      <w:r>
        <w:t xml:space="preserve">12.1 The content of this report needs to be considered in the context of the legal requirement for the Council to set a balanced 2025/26 budget before 11 March 2025. This report should be viewed as one of the formal steps to achieving this requirement. </w:t>
      </w:r>
    </w:p>
    <w:p w14:paraId="76F059A5" w14:textId="77777777" w:rsidR="003D3187" w:rsidRDefault="00000000">
      <w:pPr>
        <w:ind w:left="1336" w:right="450"/>
      </w:pPr>
      <w:r>
        <w:t xml:space="preserve">12.2 The setting of the balanced budget includes the duty to report to the Council on the robustness of the estimates provided and the adequacy of the financial reserves in place in accordance with Section 31A of the Local Government Finance Act 1992 and Section 25 of the Local Government Act 2003. The Council’s prospective expenditure must not be likely to exceed its resources available to meet that expenditure. </w:t>
      </w:r>
    </w:p>
    <w:p w14:paraId="7DAC16EF" w14:textId="77777777" w:rsidR="003D3187" w:rsidRDefault="00000000">
      <w:pPr>
        <w:ind w:left="1336" w:right="450"/>
      </w:pPr>
      <w:r>
        <w:t xml:space="preserve">12.3 Councillors have joint and collective responsibility to set a balanced budget. Councillors must receive and consider the advice of officers, particularly the Section 151 officer, when considering and deciding the Council’s budget. </w:t>
      </w:r>
    </w:p>
    <w:p w14:paraId="4DF8C2BD" w14:textId="77777777" w:rsidR="003D3187" w:rsidRDefault="00000000">
      <w:pPr>
        <w:ind w:left="1336" w:right="450"/>
      </w:pPr>
      <w:r>
        <w:t xml:space="preserve">12.4 The report seeks approval to commence formal public consultation on elements of the budget proposals in accordance with statutory requirements. Any </w:t>
      </w:r>
    </w:p>
    <w:p w14:paraId="5B53A67F" w14:textId="77777777" w:rsidR="003D3187" w:rsidRDefault="00000000">
      <w:pPr>
        <w:ind w:left="1344" w:right="450" w:firstLine="0"/>
      </w:pPr>
      <w:r>
        <w:t xml:space="preserve">responses received as part of the consultation will need to be fully and properly considered. </w:t>
      </w:r>
    </w:p>
    <w:p w14:paraId="33274E2C" w14:textId="77777777" w:rsidR="003D3187" w:rsidRDefault="00000000">
      <w:pPr>
        <w:ind w:left="1336" w:right="450"/>
      </w:pPr>
      <w:r>
        <w:t xml:space="preserve">12.5 Councillors must have due regard to the Council’s responsibilities under the public sector equality duty when making decisions. To support good decisionmaking equality impact assessments should be undertaken, the outcomes, and implications of which should be fully considered as part of the decision-making process.  Where changes to the provision of public services are proposed particularly in relation to welfare provision, whether that is the manner of provision or as a result of the need to accommodate budget reductions, consultation with relevant stakeholders must be undertaken and the outcome and implications must be considered prior to a final decision being made. </w:t>
      </w:r>
    </w:p>
    <w:p w14:paraId="05EEC761" w14:textId="77777777" w:rsidR="003D3187" w:rsidRDefault="00000000">
      <w:pPr>
        <w:ind w:left="1336" w:right="450"/>
      </w:pPr>
      <w:r>
        <w:t xml:space="preserve">12.6 The MTFP is a crucial element of demonstrating sound financial management and meeting the "best value" duty under the Local Government Act 1999. The MTFP demonstrates that the Council has a credible plan for financial sustainability over the medium term and aligns with the Council’s strategic objectives. </w:t>
      </w:r>
    </w:p>
    <w:p w14:paraId="34637C1A" w14:textId="77777777" w:rsidR="003D3187" w:rsidRDefault="00000000">
      <w:pPr>
        <w:ind w:left="1344" w:right="450" w:firstLine="0"/>
      </w:pPr>
      <w:r>
        <w:t xml:space="preserve">Beth Brown, Director of Legal and Governance and Monitoring Officer, 10 October 2025. </w:t>
      </w:r>
    </w:p>
    <w:p w14:paraId="679CBD32" w14:textId="77777777" w:rsidR="003D3187" w:rsidRDefault="00000000">
      <w:pPr>
        <w:spacing w:after="138" w:line="259" w:lineRule="auto"/>
        <w:ind w:left="1344" w:firstLine="0"/>
      </w:pPr>
      <w:r>
        <w:t xml:space="preserve"> </w:t>
      </w:r>
    </w:p>
    <w:p w14:paraId="03131982" w14:textId="77777777" w:rsidR="003D3187" w:rsidRDefault="00000000">
      <w:pPr>
        <w:pStyle w:val="Heading2"/>
        <w:spacing w:after="135"/>
        <w:ind w:left="784" w:right="533"/>
      </w:pPr>
      <w:r>
        <w:t xml:space="preserve">13. Other comments and considerations </w:t>
      </w:r>
    </w:p>
    <w:p w14:paraId="0EC64AC0" w14:textId="77777777" w:rsidR="003D3187" w:rsidRDefault="00000000">
      <w:pPr>
        <w:spacing w:after="0" w:line="259" w:lineRule="auto"/>
        <w:ind w:left="414" w:firstLine="0"/>
      </w:pPr>
      <w:r>
        <w:t xml:space="preserve"> </w:t>
      </w:r>
    </w:p>
    <w:p w14:paraId="682E55E8" w14:textId="77777777" w:rsidR="003D3187" w:rsidRDefault="00000000">
      <w:pPr>
        <w:ind w:left="1336" w:right="450"/>
      </w:pPr>
      <w:r>
        <w:t xml:space="preserve">13.1 All members of Corporate Leadership Team have reviewed and contributed towards the report. </w:t>
      </w:r>
    </w:p>
    <w:p w14:paraId="54A291ED" w14:textId="77777777" w:rsidR="003D3187" w:rsidRDefault="00000000">
      <w:pPr>
        <w:spacing w:after="0" w:line="259" w:lineRule="auto"/>
        <w:ind w:left="981" w:firstLine="0"/>
      </w:pPr>
      <w:r>
        <w:rPr>
          <w:b/>
        </w:rPr>
        <w:t xml:space="preserve"> </w:t>
      </w:r>
    </w:p>
    <w:p w14:paraId="7BC51978" w14:textId="77777777" w:rsidR="003D3187" w:rsidRDefault="00000000">
      <w:pPr>
        <w:numPr>
          <w:ilvl w:val="0"/>
          <w:numId w:val="12"/>
        </w:numPr>
        <w:spacing w:after="135" w:line="262" w:lineRule="auto"/>
        <w:ind w:right="533" w:hanging="360"/>
      </w:pPr>
      <w:r>
        <w:rPr>
          <w:b/>
        </w:rPr>
        <w:t xml:space="preserve">Additional implications </w:t>
      </w:r>
    </w:p>
    <w:p w14:paraId="536F11C5" w14:textId="77777777" w:rsidR="003D3187" w:rsidRDefault="00000000">
      <w:pPr>
        <w:spacing w:after="0" w:line="259" w:lineRule="auto"/>
        <w:ind w:left="981" w:firstLine="0"/>
      </w:pPr>
      <w:r>
        <w:t xml:space="preserve"> </w:t>
      </w:r>
    </w:p>
    <w:p w14:paraId="67099219" w14:textId="77777777" w:rsidR="003D3187" w:rsidRDefault="00000000">
      <w:pPr>
        <w:spacing w:after="10"/>
        <w:ind w:left="759" w:right="450" w:firstLine="0"/>
      </w:pPr>
      <w:r>
        <w:t>14.1 Equality Impact Assessments are contained in Appendix 7</w:t>
      </w:r>
      <w:r>
        <w:rPr>
          <w:rFonts w:ascii="Calibri" w:eastAsia="Calibri" w:hAnsi="Calibri" w:cs="Calibri"/>
          <w:b/>
          <w:sz w:val="22"/>
        </w:rPr>
        <w:t xml:space="preserve"> </w:t>
      </w:r>
    </w:p>
    <w:p w14:paraId="7536B99F" w14:textId="77777777" w:rsidR="003D3187" w:rsidRDefault="00000000">
      <w:pPr>
        <w:spacing w:after="138" w:line="259" w:lineRule="auto"/>
        <w:ind w:left="1344" w:firstLine="0"/>
      </w:pPr>
      <w:r>
        <w:t xml:space="preserve"> </w:t>
      </w:r>
    </w:p>
    <w:p w14:paraId="4F7C0238" w14:textId="77777777" w:rsidR="003D3187" w:rsidRDefault="00000000">
      <w:pPr>
        <w:pStyle w:val="Heading2"/>
        <w:ind w:left="784" w:right="533"/>
      </w:pPr>
      <w:r>
        <w:t>15.</w:t>
      </w:r>
      <w:r>
        <w:rPr>
          <w:rFonts w:ascii="Calibri" w:eastAsia="Calibri" w:hAnsi="Calibri" w:cs="Calibri"/>
          <w:sz w:val="22"/>
        </w:rPr>
        <w:t xml:space="preserve"> </w:t>
      </w:r>
      <w:r>
        <w:t>List of appendices to this report</w:t>
      </w:r>
      <w:r>
        <w:rPr>
          <w:rFonts w:ascii="Calibri" w:eastAsia="Calibri" w:hAnsi="Calibri" w:cs="Calibri"/>
          <w:sz w:val="22"/>
        </w:rPr>
        <w:t xml:space="preserve"> </w:t>
      </w:r>
    </w:p>
    <w:p w14:paraId="636E091D" w14:textId="77777777" w:rsidR="003D3187" w:rsidRDefault="00000000">
      <w:pPr>
        <w:spacing w:after="154" w:line="259" w:lineRule="auto"/>
        <w:ind w:left="1134" w:firstLine="0"/>
      </w:pPr>
      <w:r>
        <w:rPr>
          <w:rFonts w:ascii="Calibri" w:eastAsia="Calibri" w:hAnsi="Calibri" w:cs="Calibri"/>
          <w:b/>
          <w:sz w:val="22"/>
        </w:rPr>
        <w:t xml:space="preserve"> </w:t>
      </w:r>
    </w:p>
    <w:p w14:paraId="0F609786" w14:textId="77777777" w:rsidR="003D3187" w:rsidRDefault="00000000">
      <w:pPr>
        <w:ind w:left="759" w:right="450" w:firstLine="0"/>
      </w:pPr>
      <w:r>
        <w:t xml:space="preserve">15.1 Appendix 1: Savings/Pressures to be Written Out </w:t>
      </w:r>
    </w:p>
    <w:p w14:paraId="07A19812" w14:textId="77777777" w:rsidR="003D3187" w:rsidRDefault="00000000">
      <w:pPr>
        <w:ind w:left="759" w:right="450" w:firstLine="0"/>
      </w:pPr>
      <w:r>
        <w:t xml:space="preserve">15.2 Appendix 2: New Savings </w:t>
      </w:r>
    </w:p>
    <w:p w14:paraId="5D539A58" w14:textId="77777777" w:rsidR="003D3187" w:rsidRDefault="00000000">
      <w:pPr>
        <w:ind w:left="759" w:right="450" w:firstLine="0"/>
      </w:pPr>
      <w:r>
        <w:t xml:space="preserve">15.3 Appendix 3: Investments </w:t>
      </w:r>
    </w:p>
    <w:p w14:paraId="6B54F776" w14:textId="77777777" w:rsidR="003D3187" w:rsidRDefault="00000000">
      <w:pPr>
        <w:ind w:left="759" w:right="450" w:firstLine="0"/>
      </w:pPr>
      <w:r>
        <w:t xml:space="preserve">15.4 Appendix 4: Financial Robustness of MTFP Assumptions </w:t>
      </w:r>
    </w:p>
    <w:p w14:paraId="35A64D5F" w14:textId="77777777" w:rsidR="003D3187" w:rsidRDefault="00000000">
      <w:pPr>
        <w:ind w:left="759" w:right="450" w:firstLine="0"/>
      </w:pPr>
      <w:r>
        <w:t xml:space="preserve">15.5 Appendix 5: Budget Consultation </w:t>
      </w:r>
    </w:p>
    <w:p w14:paraId="47F317BE" w14:textId="77777777" w:rsidR="003D3187" w:rsidRDefault="00000000">
      <w:pPr>
        <w:ind w:left="759" w:right="450" w:firstLine="0"/>
      </w:pPr>
      <w:r>
        <w:t xml:space="preserve">15.6 Appendix 6: Fees &amp; Charges </w:t>
      </w:r>
    </w:p>
    <w:p w14:paraId="53E2B2E2" w14:textId="77777777" w:rsidR="003D3187" w:rsidRDefault="00000000">
      <w:pPr>
        <w:ind w:left="759" w:right="450" w:firstLine="0"/>
      </w:pPr>
      <w:r>
        <w:t xml:space="preserve">15.7 Appendix 7: Equalities Impact Assessments </w:t>
      </w:r>
    </w:p>
    <w:p w14:paraId="3AF5604B" w14:textId="77777777" w:rsidR="003D3187" w:rsidRDefault="00000000">
      <w:pPr>
        <w:ind w:left="1336" w:right="450"/>
      </w:pPr>
      <w:r>
        <w:t xml:space="preserve">15.8 Documents that need to be considered as part of the proposals being considered </w:t>
      </w:r>
    </w:p>
    <w:p w14:paraId="727BEF11" w14:textId="77777777" w:rsidR="003D3187" w:rsidRDefault="00000000">
      <w:pPr>
        <w:spacing w:after="0" w:line="379" w:lineRule="auto"/>
        <w:ind w:left="1344" w:right="8851" w:firstLine="0"/>
      </w:pPr>
      <w:r>
        <w:t xml:space="preserve">   </w:t>
      </w:r>
    </w:p>
    <w:p w14:paraId="178F4681" w14:textId="77777777" w:rsidR="003D3187" w:rsidRDefault="00000000">
      <w:pPr>
        <w:pStyle w:val="Heading2"/>
        <w:spacing w:after="135"/>
        <w:ind w:left="784" w:right="533"/>
      </w:pPr>
      <w:r>
        <w:t xml:space="preserve">16. List of background papers relied upon in writing this report </w:t>
      </w:r>
    </w:p>
    <w:p w14:paraId="6E9088EB" w14:textId="77777777" w:rsidR="003D3187" w:rsidRDefault="00000000">
      <w:pPr>
        <w:spacing w:after="0" w:line="259" w:lineRule="auto"/>
        <w:ind w:left="981" w:firstLine="0"/>
      </w:pPr>
      <w:r>
        <w:rPr>
          <w:b/>
        </w:rPr>
        <w:t xml:space="preserve"> </w:t>
      </w:r>
    </w:p>
    <w:p w14:paraId="39E19935" w14:textId="77777777" w:rsidR="003D3187" w:rsidRDefault="00000000">
      <w:pPr>
        <w:ind w:left="759" w:right="450" w:firstLine="0"/>
      </w:pPr>
      <w:r>
        <w:t xml:space="preserve">16.1 Background papers that were relied on in preparing this report: </w:t>
      </w:r>
    </w:p>
    <w:p w14:paraId="1EBF4738" w14:textId="77777777" w:rsidR="003D3187" w:rsidRDefault="00000000">
      <w:pPr>
        <w:numPr>
          <w:ilvl w:val="0"/>
          <w:numId w:val="13"/>
        </w:numPr>
        <w:ind w:right="604" w:hanging="360"/>
      </w:pPr>
      <w:r>
        <w:t>Budget Savings 2025/26 – 2028/29, Executive Board, Tuesday, 17</w:t>
      </w:r>
      <w:r>
        <w:rPr>
          <w:vertAlign w:val="superscript"/>
        </w:rPr>
        <w:t>th</w:t>
      </w:r>
      <w:r>
        <w:t xml:space="preserve"> December 2024 </w:t>
      </w:r>
    </w:p>
    <w:p w14:paraId="2B1BF554" w14:textId="77777777" w:rsidR="003D3187" w:rsidRDefault="00000000">
      <w:pPr>
        <w:numPr>
          <w:ilvl w:val="0"/>
          <w:numId w:val="13"/>
        </w:numPr>
        <w:spacing w:after="0" w:line="259" w:lineRule="auto"/>
        <w:ind w:right="604" w:hanging="360"/>
      </w:pPr>
      <w:r>
        <w:t>2025/26 Budget and Council Tax Resolution, City Council, Monday 3</w:t>
      </w:r>
      <w:r>
        <w:rPr>
          <w:vertAlign w:val="superscript"/>
        </w:rPr>
        <w:t>rd</w:t>
      </w:r>
      <w:r>
        <w:t xml:space="preserve"> </w:t>
      </w:r>
    </w:p>
    <w:p w14:paraId="6A9F6404" w14:textId="77777777" w:rsidR="003D3187" w:rsidRDefault="00000000">
      <w:pPr>
        <w:ind w:left="2064" w:right="6881" w:firstLine="0"/>
      </w:pPr>
      <w:r>
        <w:t>March 2025</w:t>
      </w:r>
      <w:r>
        <w:rPr>
          <w:rFonts w:ascii="Calibri" w:eastAsia="Calibri" w:hAnsi="Calibri" w:cs="Calibri"/>
          <w:sz w:val="22"/>
        </w:rPr>
        <w:t xml:space="preserve"> </w:t>
      </w:r>
      <w:r>
        <w:t xml:space="preserve"> </w:t>
      </w:r>
    </w:p>
    <w:p w14:paraId="7FCCD8BF" w14:textId="77777777" w:rsidR="003D3187" w:rsidRDefault="00000000">
      <w:pPr>
        <w:spacing w:after="143" w:line="262" w:lineRule="auto"/>
        <w:ind w:left="784" w:right="533" w:hanging="10"/>
      </w:pPr>
      <w:r>
        <w:rPr>
          <w:b/>
        </w:rPr>
        <w:t>17.</w:t>
      </w:r>
      <w:r>
        <w:rPr>
          <w:rFonts w:ascii="Calibri" w:eastAsia="Calibri" w:hAnsi="Calibri" w:cs="Calibri"/>
          <w:b/>
          <w:sz w:val="22"/>
        </w:rPr>
        <w:t xml:space="preserve"> </w:t>
      </w:r>
      <w:r>
        <w:rPr>
          <w:b/>
        </w:rPr>
        <w:t>List of published documents referred to in this report</w:t>
      </w:r>
      <w:r>
        <w:rPr>
          <w:rFonts w:ascii="Calibri" w:eastAsia="Calibri" w:hAnsi="Calibri" w:cs="Calibri"/>
          <w:b/>
          <w:sz w:val="22"/>
        </w:rPr>
        <w:t xml:space="preserve"> </w:t>
      </w:r>
    </w:p>
    <w:p w14:paraId="70A41BC8" w14:textId="77777777" w:rsidR="003D3187" w:rsidRDefault="00000000">
      <w:pPr>
        <w:ind w:left="759" w:right="450" w:firstLine="0"/>
      </w:pPr>
      <w:r>
        <w:t xml:space="preserve">N/A </w:t>
      </w:r>
    </w:p>
    <w:p w14:paraId="62CAC65C" w14:textId="77777777" w:rsidR="003D3187" w:rsidRDefault="00000000">
      <w:pPr>
        <w:pStyle w:val="Heading1"/>
        <w:spacing w:after="0" w:line="259" w:lineRule="auto"/>
        <w:ind w:left="340"/>
      </w:pPr>
      <w:r>
        <w:rPr>
          <w:u w:val="single" w:color="000000"/>
        </w:rPr>
        <w:t>Additional information</w:t>
      </w:r>
      <w:r>
        <w:t xml:space="preserve"> </w:t>
      </w:r>
    </w:p>
    <w:p w14:paraId="18289742" w14:textId="77777777" w:rsidR="003D3187" w:rsidRDefault="00000000">
      <w:pPr>
        <w:spacing w:after="0" w:line="259" w:lineRule="auto"/>
        <w:ind w:left="178" w:firstLine="0"/>
        <w:jc w:val="center"/>
      </w:pPr>
      <w:r>
        <w:rPr>
          <w:b/>
        </w:rPr>
        <w:t xml:space="preserve"> </w:t>
      </w:r>
    </w:p>
    <w:tbl>
      <w:tblPr>
        <w:tblStyle w:val="TableGrid"/>
        <w:tblW w:w="9391" w:type="dxa"/>
        <w:tblInd w:w="237" w:type="dxa"/>
        <w:tblCellMar>
          <w:top w:w="55" w:type="dxa"/>
          <w:left w:w="108" w:type="dxa"/>
          <w:bottom w:w="0" w:type="dxa"/>
          <w:right w:w="115" w:type="dxa"/>
        </w:tblCellMar>
        <w:tblLook w:val="04A0" w:firstRow="1" w:lastRow="0" w:firstColumn="1" w:lastColumn="0" w:noHBand="0" w:noVBand="1"/>
      </w:tblPr>
      <w:tblGrid>
        <w:gridCol w:w="9391"/>
      </w:tblGrid>
      <w:tr w:rsidR="003D3187" w14:paraId="64168C8C" w14:textId="77777777">
        <w:trPr>
          <w:trHeight w:val="1666"/>
        </w:trPr>
        <w:tc>
          <w:tcPr>
            <w:tcW w:w="9391" w:type="dxa"/>
            <w:tcBorders>
              <w:top w:val="single" w:sz="4" w:space="0" w:color="000000"/>
              <w:left w:val="single" w:sz="4" w:space="0" w:color="000000"/>
              <w:bottom w:val="single" w:sz="4" w:space="0" w:color="000000"/>
              <w:right w:val="single" w:sz="4" w:space="0" w:color="000000"/>
            </w:tcBorders>
          </w:tcPr>
          <w:p w14:paraId="683F7EAA" w14:textId="77777777" w:rsidR="003D3187" w:rsidRDefault="00000000">
            <w:pPr>
              <w:spacing w:after="0" w:line="240" w:lineRule="auto"/>
              <w:ind w:left="0" w:firstLine="0"/>
            </w:pPr>
            <w:r>
              <w:rPr>
                <w:b/>
              </w:rPr>
              <w:t xml:space="preserve">Report Author: </w:t>
            </w:r>
            <w:r>
              <w:t xml:space="preserve">Stuart Fair, Corporate Director of Finance and Resources, </w:t>
            </w:r>
            <w:r>
              <w:rPr>
                <w:color w:val="0563C1"/>
                <w:u w:val="single" w:color="0563C1"/>
              </w:rPr>
              <w:t>stuart.fair@nottinghamcity.gov.uk</w:t>
            </w:r>
            <w:r>
              <w:t xml:space="preserve"> </w:t>
            </w:r>
          </w:p>
          <w:p w14:paraId="66EB28BB" w14:textId="77777777" w:rsidR="003D3187" w:rsidRDefault="00000000">
            <w:pPr>
              <w:spacing w:after="0" w:line="259" w:lineRule="auto"/>
              <w:ind w:left="0" w:firstLine="0"/>
            </w:pPr>
            <w:r>
              <w:t xml:space="preserve"> </w:t>
            </w:r>
          </w:p>
          <w:p w14:paraId="66867A21" w14:textId="77777777" w:rsidR="003D3187" w:rsidRDefault="00000000">
            <w:pPr>
              <w:spacing w:after="0" w:line="240" w:lineRule="auto"/>
              <w:ind w:left="0" w:firstLine="0"/>
            </w:pPr>
            <w:r>
              <w:t xml:space="preserve">Gareth Robinson, Director of Finance; Deputy Section 151 Officer, </w:t>
            </w:r>
            <w:r>
              <w:rPr>
                <w:color w:val="0563C1"/>
                <w:u w:val="single" w:color="0563C1"/>
              </w:rPr>
              <w:t>gareth.robinson@nottinghamcity.gov.uk</w:t>
            </w:r>
            <w:r>
              <w:rPr>
                <w:b/>
              </w:rPr>
              <w:t xml:space="preserve"> </w:t>
            </w:r>
          </w:p>
          <w:p w14:paraId="500828EB" w14:textId="77777777" w:rsidR="003D3187" w:rsidRDefault="00000000">
            <w:pPr>
              <w:spacing w:after="0" w:line="259" w:lineRule="auto"/>
              <w:ind w:left="0" w:firstLine="0"/>
            </w:pPr>
            <w:r>
              <w:rPr>
                <w:b/>
              </w:rPr>
              <w:t xml:space="preserve"> </w:t>
            </w:r>
          </w:p>
        </w:tc>
      </w:tr>
      <w:tr w:rsidR="003D3187" w14:paraId="14717764" w14:textId="77777777">
        <w:trPr>
          <w:trHeight w:val="562"/>
        </w:trPr>
        <w:tc>
          <w:tcPr>
            <w:tcW w:w="9391" w:type="dxa"/>
            <w:tcBorders>
              <w:top w:val="single" w:sz="4" w:space="0" w:color="000000"/>
              <w:left w:val="single" w:sz="4" w:space="0" w:color="000000"/>
              <w:bottom w:val="single" w:sz="4" w:space="0" w:color="000000"/>
              <w:right w:val="single" w:sz="4" w:space="0" w:color="000000"/>
            </w:tcBorders>
          </w:tcPr>
          <w:p w14:paraId="501AB425" w14:textId="77777777" w:rsidR="003D3187" w:rsidRDefault="00000000">
            <w:pPr>
              <w:spacing w:after="0" w:line="259" w:lineRule="auto"/>
              <w:ind w:left="0" w:firstLine="0"/>
            </w:pPr>
            <w:r>
              <w:rPr>
                <w:b/>
              </w:rPr>
              <w:t xml:space="preserve">Wards affected: </w:t>
            </w:r>
            <w:r>
              <w:t xml:space="preserve">All </w:t>
            </w:r>
          </w:p>
          <w:p w14:paraId="2B7DCEC0" w14:textId="77777777" w:rsidR="003D3187" w:rsidRDefault="00000000">
            <w:pPr>
              <w:spacing w:after="0" w:line="259" w:lineRule="auto"/>
              <w:ind w:left="0" w:firstLine="0"/>
            </w:pPr>
            <w:r>
              <w:rPr>
                <w:b/>
              </w:rPr>
              <w:t xml:space="preserve"> </w:t>
            </w:r>
          </w:p>
        </w:tc>
      </w:tr>
    </w:tbl>
    <w:p w14:paraId="5FFDF06C" w14:textId="77777777" w:rsidR="003D3187" w:rsidRDefault="00000000">
      <w:pPr>
        <w:spacing w:after="0" w:line="259" w:lineRule="auto"/>
        <w:ind w:left="981" w:firstLine="0"/>
      </w:pPr>
      <w:r>
        <w:t xml:space="preserve"> </w:t>
      </w:r>
    </w:p>
    <w:p w14:paraId="2BFD48CF" w14:textId="77777777" w:rsidR="003D3187" w:rsidRDefault="00000000">
      <w:pPr>
        <w:spacing w:after="0" w:line="259" w:lineRule="auto"/>
        <w:ind w:left="981" w:firstLine="0"/>
      </w:pPr>
      <w:r>
        <w:t xml:space="preserve"> </w:t>
      </w:r>
      <w:r>
        <w:tab/>
        <w:t xml:space="preserve"> </w:t>
      </w:r>
      <w:r>
        <w:br w:type="page"/>
      </w:r>
    </w:p>
    <w:p w14:paraId="2EDF046B" w14:textId="77777777" w:rsidR="003D3187" w:rsidRDefault="00000000">
      <w:pPr>
        <w:pStyle w:val="Heading2"/>
        <w:ind w:left="976" w:right="533"/>
      </w:pPr>
      <w:r>
        <w:t xml:space="preserve">Appendix 1 – Savings/Pressures to Be Written Out </w:t>
      </w:r>
    </w:p>
    <w:p w14:paraId="3CB940D5" w14:textId="77777777" w:rsidR="003D3187" w:rsidRDefault="00000000">
      <w:pPr>
        <w:spacing w:after="0" w:line="259" w:lineRule="auto"/>
        <w:ind w:left="981" w:firstLine="0"/>
      </w:pPr>
      <w:r>
        <w:rPr>
          <w:b/>
        </w:rPr>
        <w:t xml:space="preserve"> </w:t>
      </w:r>
    </w:p>
    <w:p w14:paraId="29F8FB8E" w14:textId="77777777" w:rsidR="003D3187" w:rsidRDefault="00000000">
      <w:pPr>
        <w:ind w:left="981" w:right="903" w:firstLine="0"/>
      </w:pPr>
      <w:r>
        <w:t xml:space="preserve">To ensure the budget is credible, it is important that unachievable savings are written out and that permanent pressures that will never be offset are included within the Medium Term Financial Plan. Otherwise, there are hidden risks to the budget that could make it unsustainable.  While the first position is to review the assumptions, validate the non-delivery position (was it ever deliverable) and the second to search for alternative mitigating savings that are broadly similar.  At some point, if the savings and there are no alternative equivalent savings, then the savings needs writing off. </w:t>
      </w:r>
    </w:p>
    <w:p w14:paraId="4FD737B3" w14:textId="77777777" w:rsidR="003D3187" w:rsidRDefault="00000000">
      <w:pPr>
        <w:spacing w:after="10"/>
        <w:ind w:left="981" w:right="450" w:firstLine="0"/>
      </w:pPr>
      <w:r>
        <w:t xml:space="preserve">This budget asks approval to write off the following savings: </w:t>
      </w:r>
    </w:p>
    <w:tbl>
      <w:tblPr>
        <w:tblStyle w:val="TableGrid"/>
        <w:tblW w:w="9145" w:type="dxa"/>
        <w:tblInd w:w="987" w:type="dxa"/>
        <w:tblCellMar>
          <w:top w:w="54" w:type="dxa"/>
          <w:left w:w="107" w:type="dxa"/>
          <w:bottom w:w="0" w:type="dxa"/>
          <w:right w:w="40" w:type="dxa"/>
        </w:tblCellMar>
        <w:tblLook w:val="04A0" w:firstRow="1" w:lastRow="0" w:firstColumn="1" w:lastColumn="0" w:noHBand="0" w:noVBand="1"/>
      </w:tblPr>
      <w:tblGrid>
        <w:gridCol w:w="1978"/>
        <w:gridCol w:w="6220"/>
        <w:gridCol w:w="947"/>
      </w:tblGrid>
      <w:tr w:rsidR="003D3187" w14:paraId="61433311" w14:textId="77777777">
        <w:trPr>
          <w:trHeight w:val="308"/>
        </w:trPr>
        <w:tc>
          <w:tcPr>
            <w:tcW w:w="1978" w:type="dxa"/>
            <w:tcBorders>
              <w:top w:val="single" w:sz="4" w:space="0" w:color="000000"/>
              <w:left w:val="single" w:sz="4" w:space="0" w:color="000000"/>
              <w:bottom w:val="single" w:sz="4" w:space="0" w:color="000000"/>
              <w:right w:val="single" w:sz="4" w:space="0" w:color="000000"/>
            </w:tcBorders>
            <w:shd w:val="clear" w:color="auto" w:fill="C5E0B3"/>
          </w:tcPr>
          <w:p w14:paraId="0E80A1F3" w14:textId="77777777" w:rsidR="003D3187" w:rsidRDefault="00000000">
            <w:pPr>
              <w:spacing w:after="0" w:line="259" w:lineRule="auto"/>
              <w:ind w:left="0" w:firstLine="0"/>
            </w:pPr>
            <w:r>
              <w:rPr>
                <w:b/>
              </w:rPr>
              <w:t xml:space="preserve">Savings </w:t>
            </w:r>
          </w:p>
        </w:tc>
        <w:tc>
          <w:tcPr>
            <w:tcW w:w="6220" w:type="dxa"/>
            <w:tcBorders>
              <w:top w:val="single" w:sz="4" w:space="0" w:color="000000"/>
              <w:left w:val="single" w:sz="4" w:space="0" w:color="000000"/>
              <w:bottom w:val="single" w:sz="4" w:space="0" w:color="000000"/>
              <w:right w:val="single" w:sz="4" w:space="0" w:color="000000"/>
            </w:tcBorders>
            <w:shd w:val="clear" w:color="auto" w:fill="C5E0B3"/>
          </w:tcPr>
          <w:p w14:paraId="77D1AB89" w14:textId="77777777" w:rsidR="003D3187" w:rsidRDefault="00000000">
            <w:pPr>
              <w:spacing w:after="0" w:line="259" w:lineRule="auto"/>
              <w:ind w:left="1" w:firstLine="0"/>
            </w:pPr>
            <w:r>
              <w:rPr>
                <w:b/>
              </w:rPr>
              <w:t xml:space="preserve">Reasoning </w:t>
            </w:r>
          </w:p>
        </w:tc>
        <w:tc>
          <w:tcPr>
            <w:tcW w:w="947" w:type="dxa"/>
            <w:tcBorders>
              <w:top w:val="single" w:sz="4" w:space="0" w:color="000000"/>
              <w:left w:val="single" w:sz="4" w:space="0" w:color="000000"/>
              <w:bottom w:val="single" w:sz="4" w:space="0" w:color="000000"/>
              <w:right w:val="single" w:sz="4" w:space="0" w:color="000000"/>
            </w:tcBorders>
            <w:shd w:val="clear" w:color="auto" w:fill="C5E0B3"/>
          </w:tcPr>
          <w:p w14:paraId="41AE92D1" w14:textId="77777777" w:rsidR="003D3187" w:rsidRDefault="00000000">
            <w:pPr>
              <w:spacing w:after="0" w:line="259" w:lineRule="auto"/>
              <w:ind w:left="0" w:right="67" w:firstLine="0"/>
              <w:jc w:val="right"/>
            </w:pPr>
            <w:r>
              <w:rPr>
                <w:b/>
              </w:rPr>
              <w:t xml:space="preserve">£m </w:t>
            </w:r>
          </w:p>
        </w:tc>
      </w:tr>
      <w:tr w:rsidR="003D3187" w14:paraId="1EB6C66F" w14:textId="77777777">
        <w:trPr>
          <w:trHeight w:val="1827"/>
        </w:trPr>
        <w:tc>
          <w:tcPr>
            <w:tcW w:w="1978" w:type="dxa"/>
            <w:tcBorders>
              <w:top w:val="single" w:sz="4" w:space="0" w:color="000000"/>
              <w:left w:val="single" w:sz="4" w:space="0" w:color="000000"/>
              <w:bottom w:val="single" w:sz="4" w:space="0" w:color="000000"/>
              <w:right w:val="single" w:sz="4" w:space="0" w:color="000000"/>
            </w:tcBorders>
          </w:tcPr>
          <w:p w14:paraId="6A0AF687" w14:textId="77777777" w:rsidR="003D3187" w:rsidRDefault="00000000">
            <w:pPr>
              <w:spacing w:after="0" w:line="259" w:lineRule="auto"/>
              <w:ind w:left="0" w:firstLine="0"/>
            </w:pPr>
            <w:r>
              <w:t xml:space="preserve">Adult Social Care Savings </w:t>
            </w:r>
          </w:p>
        </w:tc>
        <w:tc>
          <w:tcPr>
            <w:tcW w:w="6220" w:type="dxa"/>
            <w:tcBorders>
              <w:top w:val="single" w:sz="4" w:space="0" w:color="000000"/>
              <w:left w:val="single" w:sz="4" w:space="0" w:color="000000"/>
              <w:bottom w:val="single" w:sz="4" w:space="0" w:color="000000"/>
              <w:right w:val="single" w:sz="4" w:space="0" w:color="000000"/>
            </w:tcBorders>
          </w:tcPr>
          <w:p w14:paraId="41A093B3" w14:textId="77777777" w:rsidR="003D3187" w:rsidRDefault="00000000">
            <w:pPr>
              <w:spacing w:after="0" w:line="259" w:lineRule="auto"/>
              <w:ind w:left="1" w:firstLine="0"/>
            </w:pPr>
            <w:r>
              <w:t xml:space="preserve">There is a recognition that there is a net £1.6m in unachievable savings on placements across multiple savings line.  Some of the methodology for adult social care savings and assumptions have retrospectively proved not be credible or achievable. This is the net impact of writing out those unachievable savings targets </w:t>
            </w:r>
          </w:p>
        </w:tc>
        <w:tc>
          <w:tcPr>
            <w:tcW w:w="947" w:type="dxa"/>
            <w:tcBorders>
              <w:top w:val="single" w:sz="4" w:space="0" w:color="000000"/>
              <w:left w:val="single" w:sz="4" w:space="0" w:color="000000"/>
              <w:bottom w:val="single" w:sz="4" w:space="0" w:color="000000"/>
              <w:right w:val="single" w:sz="4" w:space="0" w:color="000000"/>
            </w:tcBorders>
          </w:tcPr>
          <w:p w14:paraId="484F2121" w14:textId="77777777" w:rsidR="003D3187" w:rsidRDefault="00000000">
            <w:pPr>
              <w:spacing w:after="0" w:line="259" w:lineRule="auto"/>
              <w:ind w:left="0" w:right="67" w:firstLine="0"/>
              <w:jc w:val="right"/>
            </w:pPr>
            <w:r>
              <w:t xml:space="preserve">1.600 </w:t>
            </w:r>
          </w:p>
        </w:tc>
      </w:tr>
      <w:tr w:rsidR="003D3187" w14:paraId="42F27542" w14:textId="77777777">
        <w:trPr>
          <w:trHeight w:val="1158"/>
        </w:trPr>
        <w:tc>
          <w:tcPr>
            <w:tcW w:w="1978" w:type="dxa"/>
            <w:tcBorders>
              <w:top w:val="single" w:sz="4" w:space="0" w:color="000000"/>
              <w:left w:val="single" w:sz="4" w:space="0" w:color="000000"/>
              <w:bottom w:val="single" w:sz="4" w:space="0" w:color="000000"/>
              <w:right w:val="single" w:sz="4" w:space="0" w:color="000000"/>
            </w:tcBorders>
          </w:tcPr>
          <w:p w14:paraId="64E742D3" w14:textId="77777777" w:rsidR="003D3187" w:rsidRDefault="00000000">
            <w:pPr>
              <w:spacing w:after="0" w:line="259" w:lineRule="auto"/>
              <w:ind w:left="0" w:firstLine="0"/>
            </w:pPr>
            <w:r>
              <w:t xml:space="preserve">Property Estate </w:t>
            </w:r>
          </w:p>
          <w:p w14:paraId="16FB82D4" w14:textId="77777777" w:rsidR="003D3187" w:rsidRDefault="00000000">
            <w:pPr>
              <w:spacing w:after="0" w:line="259" w:lineRule="auto"/>
              <w:ind w:left="0" w:firstLine="0"/>
            </w:pPr>
            <w:r>
              <w:t xml:space="preserve">Income </w:t>
            </w:r>
          </w:p>
          <w:p w14:paraId="49D6C141" w14:textId="77777777" w:rsidR="003D3187" w:rsidRDefault="00000000">
            <w:pPr>
              <w:spacing w:after="0" w:line="259" w:lineRule="auto"/>
              <w:ind w:left="0" w:firstLine="0"/>
            </w:pPr>
            <w:r>
              <w:t xml:space="preserve">Pressure </w:t>
            </w:r>
          </w:p>
        </w:tc>
        <w:tc>
          <w:tcPr>
            <w:tcW w:w="6220" w:type="dxa"/>
            <w:tcBorders>
              <w:top w:val="single" w:sz="4" w:space="0" w:color="000000"/>
              <w:left w:val="single" w:sz="4" w:space="0" w:color="000000"/>
              <w:bottom w:val="single" w:sz="4" w:space="0" w:color="000000"/>
              <w:right w:val="single" w:sz="4" w:space="0" w:color="000000"/>
            </w:tcBorders>
          </w:tcPr>
          <w:p w14:paraId="4EC0A3F8" w14:textId="77777777" w:rsidR="003D3187" w:rsidRDefault="00000000">
            <w:pPr>
              <w:spacing w:after="160" w:line="240" w:lineRule="auto"/>
              <w:ind w:left="1" w:firstLine="0"/>
            </w:pPr>
            <w:r>
              <w:t xml:space="preserve">This pressure is due to an unachievable income target for Property. </w:t>
            </w:r>
          </w:p>
          <w:p w14:paraId="4F5F3443" w14:textId="77777777" w:rsidR="003D3187" w:rsidRDefault="00000000">
            <w:pPr>
              <w:spacing w:after="0" w:line="259" w:lineRule="auto"/>
              <w:ind w:left="1" w:firstLine="0"/>
            </w:pPr>
            <w:r>
              <w:t xml:space="preserve">.  </w:t>
            </w:r>
          </w:p>
        </w:tc>
        <w:tc>
          <w:tcPr>
            <w:tcW w:w="947" w:type="dxa"/>
            <w:tcBorders>
              <w:top w:val="single" w:sz="4" w:space="0" w:color="000000"/>
              <w:left w:val="single" w:sz="4" w:space="0" w:color="000000"/>
              <w:bottom w:val="single" w:sz="4" w:space="0" w:color="000000"/>
              <w:right w:val="single" w:sz="4" w:space="0" w:color="000000"/>
            </w:tcBorders>
          </w:tcPr>
          <w:p w14:paraId="1264E002" w14:textId="77777777" w:rsidR="003D3187" w:rsidRDefault="00000000">
            <w:pPr>
              <w:spacing w:after="0" w:line="259" w:lineRule="auto"/>
              <w:ind w:left="0" w:right="67" w:firstLine="0"/>
              <w:jc w:val="right"/>
            </w:pPr>
            <w:r>
              <w:t xml:space="preserve">0.593 </w:t>
            </w:r>
          </w:p>
        </w:tc>
      </w:tr>
      <w:tr w:rsidR="003D3187" w14:paraId="65FCA5DA" w14:textId="77777777">
        <w:trPr>
          <w:trHeight w:val="2654"/>
        </w:trPr>
        <w:tc>
          <w:tcPr>
            <w:tcW w:w="1978" w:type="dxa"/>
            <w:tcBorders>
              <w:top w:val="single" w:sz="4" w:space="0" w:color="000000"/>
              <w:left w:val="single" w:sz="4" w:space="0" w:color="000000"/>
              <w:bottom w:val="single" w:sz="4" w:space="0" w:color="000000"/>
              <w:right w:val="single" w:sz="4" w:space="0" w:color="000000"/>
            </w:tcBorders>
          </w:tcPr>
          <w:p w14:paraId="6A893838" w14:textId="77777777" w:rsidR="003D3187" w:rsidRDefault="00000000">
            <w:pPr>
              <w:spacing w:after="0" w:line="259" w:lineRule="auto"/>
              <w:ind w:left="0" w:firstLine="0"/>
            </w:pPr>
            <w:r>
              <w:t xml:space="preserve">Customer </w:t>
            </w:r>
          </w:p>
          <w:p w14:paraId="2D3EB4FB" w14:textId="77777777" w:rsidR="003D3187" w:rsidRDefault="00000000">
            <w:pPr>
              <w:spacing w:after="0" w:line="259" w:lineRule="auto"/>
              <w:ind w:left="0" w:firstLine="0"/>
              <w:jc w:val="both"/>
            </w:pPr>
            <w:r>
              <w:t xml:space="preserve">Service Savings </w:t>
            </w:r>
          </w:p>
        </w:tc>
        <w:tc>
          <w:tcPr>
            <w:tcW w:w="6220" w:type="dxa"/>
            <w:tcBorders>
              <w:top w:val="single" w:sz="4" w:space="0" w:color="000000"/>
              <w:left w:val="single" w:sz="4" w:space="0" w:color="000000"/>
              <w:bottom w:val="single" w:sz="4" w:space="0" w:color="000000"/>
              <w:right w:val="single" w:sz="4" w:space="0" w:color="000000"/>
            </w:tcBorders>
          </w:tcPr>
          <w:p w14:paraId="59B1C598" w14:textId="77777777" w:rsidR="003D3187" w:rsidRDefault="00000000">
            <w:pPr>
              <w:spacing w:after="0" w:line="259" w:lineRule="auto"/>
              <w:ind w:left="1" w:right="56" w:firstLine="0"/>
            </w:pPr>
            <w:r>
              <w:t xml:space="preserve">Customer Services centralised a number of service areas over the last few years and it was successful in achieving significant savings but this represents a double count from past years when a historic savings was not taken into account in the wider customer service centralisation.  It is important that the area has a viable, sustainable budget, particularly with new cross cutting workforce savings and future savings from digitisation and AI that will need developing.  </w:t>
            </w:r>
          </w:p>
        </w:tc>
        <w:tc>
          <w:tcPr>
            <w:tcW w:w="947" w:type="dxa"/>
            <w:tcBorders>
              <w:top w:val="single" w:sz="4" w:space="0" w:color="000000"/>
              <w:left w:val="single" w:sz="4" w:space="0" w:color="000000"/>
              <w:bottom w:val="single" w:sz="4" w:space="0" w:color="000000"/>
              <w:right w:val="single" w:sz="4" w:space="0" w:color="000000"/>
            </w:tcBorders>
          </w:tcPr>
          <w:p w14:paraId="13F62BD7" w14:textId="77777777" w:rsidR="003D3187" w:rsidRDefault="00000000">
            <w:pPr>
              <w:spacing w:after="0" w:line="259" w:lineRule="auto"/>
              <w:ind w:left="0" w:right="67" w:firstLine="0"/>
              <w:jc w:val="right"/>
            </w:pPr>
            <w:r>
              <w:t xml:space="preserve">0.690 </w:t>
            </w:r>
          </w:p>
        </w:tc>
      </w:tr>
      <w:tr w:rsidR="003D3187" w14:paraId="01159FA9" w14:textId="77777777">
        <w:trPr>
          <w:trHeight w:val="2102"/>
        </w:trPr>
        <w:tc>
          <w:tcPr>
            <w:tcW w:w="1978" w:type="dxa"/>
            <w:tcBorders>
              <w:top w:val="single" w:sz="4" w:space="0" w:color="000000"/>
              <w:left w:val="single" w:sz="4" w:space="0" w:color="000000"/>
              <w:bottom w:val="single" w:sz="4" w:space="0" w:color="000000"/>
              <w:right w:val="single" w:sz="4" w:space="0" w:color="000000"/>
            </w:tcBorders>
          </w:tcPr>
          <w:p w14:paraId="287398BA" w14:textId="77777777" w:rsidR="003D3187" w:rsidRDefault="00000000">
            <w:pPr>
              <w:spacing w:after="0" w:line="259" w:lineRule="auto"/>
              <w:ind w:left="0" w:firstLine="0"/>
            </w:pPr>
            <w:r>
              <w:t xml:space="preserve">Duties and Powers </w:t>
            </w:r>
          </w:p>
        </w:tc>
        <w:tc>
          <w:tcPr>
            <w:tcW w:w="6220" w:type="dxa"/>
            <w:tcBorders>
              <w:top w:val="single" w:sz="4" w:space="0" w:color="000000"/>
              <w:left w:val="single" w:sz="4" w:space="0" w:color="000000"/>
              <w:bottom w:val="single" w:sz="4" w:space="0" w:color="000000"/>
              <w:right w:val="single" w:sz="4" w:space="0" w:color="000000"/>
            </w:tcBorders>
          </w:tcPr>
          <w:p w14:paraId="75B6ED0F" w14:textId="77777777" w:rsidR="003D3187" w:rsidRDefault="00000000">
            <w:pPr>
              <w:spacing w:after="0" w:line="259" w:lineRule="auto"/>
              <w:ind w:left="1" w:firstLine="0"/>
            </w:pPr>
            <w:r>
              <w:t xml:space="preserve">This is a request to write out three small savings targets from 2024/25 and 2025/26 for Information Compliance, Health &amp; Safety and Emergency Planning for £63k, £39k and £65k respectively.  Bearing in mind the critical importance only increasing over the last few years and the high profile nature of these areas, these savings have proved unachievable in practice. </w:t>
            </w:r>
          </w:p>
        </w:tc>
        <w:tc>
          <w:tcPr>
            <w:tcW w:w="947" w:type="dxa"/>
            <w:tcBorders>
              <w:top w:val="single" w:sz="4" w:space="0" w:color="000000"/>
              <w:left w:val="single" w:sz="4" w:space="0" w:color="000000"/>
              <w:bottom w:val="single" w:sz="4" w:space="0" w:color="000000"/>
              <w:right w:val="single" w:sz="4" w:space="0" w:color="000000"/>
            </w:tcBorders>
          </w:tcPr>
          <w:p w14:paraId="05B16252" w14:textId="77777777" w:rsidR="003D3187" w:rsidRDefault="00000000">
            <w:pPr>
              <w:spacing w:after="0" w:line="259" w:lineRule="auto"/>
              <w:ind w:left="0" w:right="67" w:firstLine="0"/>
              <w:jc w:val="right"/>
            </w:pPr>
            <w:r>
              <w:t xml:space="preserve">0.167 </w:t>
            </w:r>
          </w:p>
        </w:tc>
      </w:tr>
      <w:tr w:rsidR="003D3187" w14:paraId="05672EC2" w14:textId="77777777">
        <w:trPr>
          <w:trHeight w:val="998"/>
        </w:trPr>
        <w:tc>
          <w:tcPr>
            <w:tcW w:w="1978" w:type="dxa"/>
            <w:tcBorders>
              <w:top w:val="single" w:sz="4" w:space="0" w:color="000000"/>
              <w:left w:val="single" w:sz="4" w:space="0" w:color="000000"/>
              <w:bottom w:val="single" w:sz="4" w:space="0" w:color="000000"/>
              <w:right w:val="single" w:sz="4" w:space="0" w:color="000000"/>
            </w:tcBorders>
          </w:tcPr>
          <w:p w14:paraId="359ACEE4" w14:textId="77777777" w:rsidR="003D3187" w:rsidRDefault="00000000">
            <w:pPr>
              <w:spacing w:after="0" w:line="259" w:lineRule="auto"/>
              <w:ind w:left="0" w:firstLine="0"/>
            </w:pPr>
            <w:r>
              <w:t xml:space="preserve">Legal savings </w:t>
            </w:r>
          </w:p>
        </w:tc>
        <w:tc>
          <w:tcPr>
            <w:tcW w:w="6220" w:type="dxa"/>
            <w:tcBorders>
              <w:top w:val="single" w:sz="4" w:space="0" w:color="000000"/>
              <w:left w:val="single" w:sz="4" w:space="0" w:color="000000"/>
              <w:bottom w:val="single" w:sz="4" w:space="0" w:color="000000"/>
              <w:right w:val="single" w:sz="4" w:space="0" w:color="000000"/>
            </w:tcBorders>
          </w:tcPr>
          <w:p w14:paraId="0EFFD906" w14:textId="77777777" w:rsidR="003D3187" w:rsidRDefault="00000000">
            <w:pPr>
              <w:spacing w:after="0" w:line="259" w:lineRule="auto"/>
              <w:ind w:left="1" w:firstLine="0"/>
            </w:pPr>
            <w:r>
              <w:t xml:space="preserve">This is the removal of the unachievable legal savings from the base budget.  This is an oversight from past years. </w:t>
            </w:r>
          </w:p>
        </w:tc>
        <w:tc>
          <w:tcPr>
            <w:tcW w:w="947" w:type="dxa"/>
            <w:tcBorders>
              <w:top w:val="single" w:sz="4" w:space="0" w:color="000000"/>
              <w:left w:val="single" w:sz="4" w:space="0" w:color="000000"/>
              <w:bottom w:val="single" w:sz="4" w:space="0" w:color="000000"/>
              <w:right w:val="single" w:sz="4" w:space="0" w:color="000000"/>
            </w:tcBorders>
          </w:tcPr>
          <w:p w14:paraId="0835721B" w14:textId="77777777" w:rsidR="003D3187" w:rsidRDefault="00000000">
            <w:pPr>
              <w:spacing w:after="0" w:line="259" w:lineRule="auto"/>
              <w:ind w:left="0" w:right="67" w:firstLine="0"/>
              <w:jc w:val="right"/>
            </w:pPr>
            <w:r>
              <w:t xml:space="preserve">0.102 </w:t>
            </w:r>
          </w:p>
        </w:tc>
      </w:tr>
      <w:tr w:rsidR="003D3187" w14:paraId="14A6CC3C" w14:textId="77777777">
        <w:trPr>
          <w:trHeight w:val="1274"/>
        </w:trPr>
        <w:tc>
          <w:tcPr>
            <w:tcW w:w="1978" w:type="dxa"/>
            <w:tcBorders>
              <w:top w:val="single" w:sz="4" w:space="0" w:color="000000"/>
              <w:left w:val="single" w:sz="4" w:space="0" w:color="000000"/>
              <w:bottom w:val="single" w:sz="4" w:space="0" w:color="000000"/>
              <w:right w:val="single" w:sz="4" w:space="0" w:color="000000"/>
            </w:tcBorders>
          </w:tcPr>
          <w:p w14:paraId="62797DC0" w14:textId="77777777" w:rsidR="003D3187" w:rsidRDefault="00000000">
            <w:pPr>
              <w:spacing w:after="0" w:line="259" w:lineRule="auto"/>
              <w:ind w:left="0" w:firstLine="0"/>
            </w:pPr>
            <w:r>
              <w:t xml:space="preserve">Procurement Savings </w:t>
            </w:r>
          </w:p>
        </w:tc>
        <w:tc>
          <w:tcPr>
            <w:tcW w:w="6220" w:type="dxa"/>
            <w:tcBorders>
              <w:top w:val="single" w:sz="4" w:space="0" w:color="000000"/>
              <w:left w:val="single" w:sz="4" w:space="0" w:color="000000"/>
              <w:bottom w:val="single" w:sz="4" w:space="0" w:color="000000"/>
              <w:right w:val="single" w:sz="4" w:space="0" w:color="000000"/>
            </w:tcBorders>
          </w:tcPr>
          <w:p w14:paraId="69DA0E35" w14:textId="77777777" w:rsidR="003D3187" w:rsidRDefault="00000000">
            <w:pPr>
              <w:spacing w:after="0" w:line="259" w:lineRule="auto"/>
              <w:ind w:left="1" w:firstLine="0"/>
            </w:pPr>
            <w:r>
              <w:t xml:space="preserve">This proposal writes out £600k of unachievable crosscutting procurement savings, recognising that in practice many of the savings were delivered in service areas as part of other savings target. </w:t>
            </w:r>
          </w:p>
        </w:tc>
        <w:tc>
          <w:tcPr>
            <w:tcW w:w="947" w:type="dxa"/>
            <w:tcBorders>
              <w:top w:val="single" w:sz="4" w:space="0" w:color="000000"/>
              <w:left w:val="single" w:sz="4" w:space="0" w:color="000000"/>
              <w:bottom w:val="single" w:sz="4" w:space="0" w:color="000000"/>
              <w:right w:val="single" w:sz="4" w:space="0" w:color="000000"/>
            </w:tcBorders>
          </w:tcPr>
          <w:p w14:paraId="6D5FF0D3" w14:textId="77777777" w:rsidR="003D3187" w:rsidRDefault="00000000">
            <w:pPr>
              <w:spacing w:after="0" w:line="259" w:lineRule="auto"/>
              <w:ind w:left="0" w:right="67" w:firstLine="0"/>
              <w:jc w:val="right"/>
            </w:pPr>
            <w:r>
              <w:t xml:space="preserve">0.600 </w:t>
            </w:r>
          </w:p>
        </w:tc>
      </w:tr>
      <w:tr w:rsidR="003D3187" w14:paraId="029FDA94" w14:textId="77777777">
        <w:trPr>
          <w:trHeight w:val="446"/>
        </w:trPr>
        <w:tc>
          <w:tcPr>
            <w:tcW w:w="1978" w:type="dxa"/>
            <w:tcBorders>
              <w:top w:val="single" w:sz="4" w:space="0" w:color="000000"/>
              <w:left w:val="single" w:sz="4" w:space="0" w:color="000000"/>
              <w:bottom w:val="single" w:sz="4" w:space="0" w:color="000000"/>
              <w:right w:val="single" w:sz="4" w:space="0" w:color="000000"/>
            </w:tcBorders>
          </w:tcPr>
          <w:p w14:paraId="5DF5DDC1" w14:textId="77777777" w:rsidR="003D3187" w:rsidRDefault="00000000">
            <w:pPr>
              <w:spacing w:after="0" w:line="259" w:lineRule="auto"/>
              <w:ind w:left="0" w:firstLine="0"/>
            </w:pPr>
            <w:r>
              <w:rPr>
                <w:b/>
              </w:rPr>
              <w:t xml:space="preserve">Total </w:t>
            </w:r>
          </w:p>
        </w:tc>
        <w:tc>
          <w:tcPr>
            <w:tcW w:w="6220" w:type="dxa"/>
            <w:tcBorders>
              <w:top w:val="single" w:sz="4" w:space="0" w:color="000000"/>
              <w:left w:val="single" w:sz="4" w:space="0" w:color="000000"/>
              <w:bottom w:val="single" w:sz="4" w:space="0" w:color="000000"/>
              <w:right w:val="single" w:sz="4" w:space="0" w:color="000000"/>
            </w:tcBorders>
          </w:tcPr>
          <w:p w14:paraId="3C492BA6" w14:textId="77777777" w:rsidR="003D3187" w:rsidRDefault="00000000">
            <w:pPr>
              <w:spacing w:after="0" w:line="259" w:lineRule="auto"/>
              <w:ind w:left="1" w:firstLine="0"/>
            </w:pPr>
            <w:r>
              <w:rPr>
                <w:b/>
              </w:rPr>
              <w:t xml:space="preserve"> </w:t>
            </w:r>
          </w:p>
        </w:tc>
        <w:tc>
          <w:tcPr>
            <w:tcW w:w="947" w:type="dxa"/>
            <w:tcBorders>
              <w:top w:val="single" w:sz="4" w:space="0" w:color="000000"/>
              <w:left w:val="single" w:sz="4" w:space="0" w:color="000000"/>
              <w:bottom w:val="single" w:sz="4" w:space="0" w:color="000000"/>
              <w:right w:val="single" w:sz="4" w:space="0" w:color="000000"/>
            </w:tcBorders>
          </w:tcPr>
          <w:p w14:paraId="5E1C66C7" w14:textId="77777777" w:rsidR="003D3187" w:rsidRDefault="00000000">
            <w:pPr>
              <w:spacing w:after="0" w:line="259" w:lineRule="auto"/>
              <w:ind w:left="0" w:right="67" w:firstLine="0"/>
              <w:jc w:val="right"/>
            </w:pPr>
            <w:r>
              <w:rPr>
                <w:b/>
              </w:rPr>
              <w:t xml:space="preserve">3.752 </w:t>
            </w:r>
          </w:p>
        </w:tc>
      </w:tr>
    </w:tbl>
    <w:p w14:paraId="49912406" w14:textId="77777777" w:rsidR="003D3187" w:rsidRDefault="00000000">
      <w:pPr>
        <w:spacing w:after="0" w:line="259" w:lineRule="auto"/>
        <w:ind w:left="981" w:firstLine="0"/>
      </w:pPr>
      <w:r>
        <w:t xml:space="preserve"> </w:t>
      </w:r>
    </w:p>
    <w:p w14:paraId="601FE63A" w14:textId="77777777" w:rsidR="003D3187" w:rsidRDefault="00000000">
      <w:pPr>
        <w:spacing w:after="0" w:line="259" w:lineRule="auto"/>
        <w:ind w:left="981" w:firstLine="0"/>
      </w:pPr>
      <w:r>
        <w:t xml:space="preserve"> </w:t>
      </w:r>
      <w:r>
        <w:tab/>
        <w:t xml:space="preserve"> </w:t>
      </w:r>
    </w:p>
    <w:p w14:paraId="42D02D11" w14:textId="77777777" w:rsidR="003D3187" w:rsidRDefault="003D3187">
      <w:pPr>
        <w:sectPr w:rsidR="003D3187">
          <w:pgSz w:w="11906" w:h="16838"/>
          <w:pgMar w:top="709" w:right="828" w:bottom="1050" w:left="816" w:header="720" w:footer="720" w:gutter="0"/>
          <w:cols w:space="720"/>
        </w:sectPr>
      </w:pPr>
    </w:p>
    <w:p w14:paraId="475DB187" w14:textId="77777777" w:rsidR="003D3187" w:rsidRDefault="00000000">
      <w:pPr>
        <w:pStyle w:val="Heading2"/>
        <w:ind w:left="-579" w:right="533"/>
      </w:pPr>
      <w:r>
        <w:rPr>
          <w:noProof/>
        </w:rPr>
        <w:drawing>
          <wp:anchor distT="0" distB="0" distL="114300" distR="114300" simplePos="0" relativeHeight="251663360" behindDoc="0" locked="0" layoutInCell="1" allowOverlap="0" wp14:anchorId="55990681" wp14:editId="6A9B72FE">
            <wp:simplePos x="0" y="0"/>
            <wp:positionH relativeFrom="page">
              <wp:posOffset>8827135</wp:posOffset>
            </wp:positionH>
            <wp:positionV relativeFrom="page">
              <wp:posOffset>450215</wp:posOffset>
            </wp:positionV>
            <wp:extent cx="1844041" cy="697992"/>
            <wp:effectExtent l="0" t="0" r="0" b="0"/>
            <wp:wrapTopAndBottom/>
            <wp:docPr id="63126" name="Picture 63126"/>
            <wp:cNvGraphicFramePr/>
            <a:graphic xmlns:a="http://schemas.openxmlformats.org/drawingml/2006/main">
              <a:graphicData uri="http://schemas.openxmlformats.org/drawingml/2006/picture">
                <pic:pic xmlns:pic="http://schemas.openxmlformats.org/drawingml/2006/picture">
                  <pic:nvPicPr>
                    <pic:cNvPr id="63126" name="Picture 63126"/>
                    <pic:cNvPicPr/>
                  </pic:nvPicPr>
                  <pic:blipFill>
                    <a:blip r:embed="rId9"/>
                    <a:stretch>
                      <a:fillRect/>
                    </a:stretch>
                  </pic:blipFill>
                  <pic:spPr>
                    <a:xfrm>
                      <a:off x="0" y="0"/>
                      <a:ext cx="1844041" cy="697992"/>
                    </a:xfrm>
                    <a:prstGeom prst="rect">
                      <a:avLst/>
                    </a:prstGeom>
                  </pic:spPr>
                </pic:pic>
              </a:graphicData>
            </a:graphic>
          </wp:anchor>
        </w:drawing>
      </w:r>
      <w:r>
        <w:t xml:space="preserve">Appendix 2: New Savings </w:t>
      </w:r>
    </w:p>
    <w:tbl>
      <w:tblPr>
        <w:tblStyle w:val="TableGrid"/>
        <w:tblW w:w="14898" w:type="dxa"/>
        <w:tblInd w:w="-583" w:type="dxa"/>
        <w:tblCellMar>
          <w:top w:w="50" w:type="dxa"/>
          <w:left w:w="56" w:type="dxa"/>
          <w:bottom w:w="5" w:type="dxa"/>
          <w:right w:w="0" w:type="dxa"/>
        </w:tblCellMar>
        <w:tblLook w:val="04A0" w:firstRow="1" w:lastRow="0" w:firstColumn="1" w:lastColumn="0" w:noHBand="0" w:noVBand="1"/>
      </w:tblPr>
      <w:tblGrid>
        <w:gridCol w:w="1376"/>
        <w:gridCol w:w="3124"/>
        <w:gridCol w:w="4921"/>
        <w:gridCol w:w="1036"/>
        <w:gridCol w:w="1012"/>
        <w:gridCol w:w="1012"/>
        <w:gridCol w:w="1117"/>
        <w:gridCol w:w="1300"/>
      </w:tblGrid>
      <w:tr w:rsidR="003D3187" w14:paraId="5103F435" w14:textId="77777777">
        <w:trPr>
          <w:trHeight w:val="584"/>
        </w:trPr>
        <w:tc>
          <w:tcPr>
            <w:tcW w:w="1375" w:type="dxa"/>
            <w:tcBorders>
              <w:top w:val="single" w:sz="4" w:space="0" w:color="000000"/>
              <w:left w:val="single" w:sz="4" w:space="0" w:color="000000"/>
              <w:bottom w:val="single" w:sz="4" w:space="0" w:color="000000"/>
              <w:right w:val="single" w:sz="4" w:space="0" w:color="000000"/>
            </w:tcBorders>
            <w:shd w:val="clear" w:color="auto" w:fill="C5E0B3"/>
          </w:tcPr>
          <w:p w14:paraId="70706567" w14:textId="77777777" w:rsidR="003D3187" w:rsidRDefault="00000000">
            <w:pPr>
              <w:spacing w:after="0" w:line="259" w:lineRule="auto"/>
              <w:ind w:left="0" w:firstLine="0"/>
              <w:jc w:val="both"/>
            </w:pPr>
            <w:r>
              <w:rPr>
                <w:b/>
                <w:sz w:val="22"/>
              </w:rPr>
              <w:t xml:space="preserve">Directorate </w:t>
            </w:r>
          </w:p>
        </w:tc>
        <w:tc>
          <w:tcPr>
            <w:tcW w:w="3124" w:type="dxa"/>
            <w:tcBorders>
              <w:top w:val="single" w:sz="4" w:space="0" w:color="000000"/>
              <w:left w:val="single" w:sz="4" w:space="0" w:color="000000"/>
              <w:bottom w:val="single" w:sz="4" w:space="0" w:color="000000"/>
              <w:right w:val="single" w:sz="4" w:space="0" w:color="000000"/>
            </w:tcBorders>
            <w:shd w:val="clear" w:color="auto" w:fill="C5E0B3"/>
          </w:tcPr>
          <w:p w14:paraId="22EF06B2" w14:textId="77777777" w:rsidR="003D3187" w:rsidRDefault="00000000">
            <w:pPr>
              <w:spacing w:after="0" w:line="259" w:lineRule="auto"/>
              <w:ind w:left="3" w:firstLine="0"/>
            </w:pPr>
            <w:r>
              <w:rPr>
                <w:b/>
                <w:sz w:val="22"/>
              </w:rPr>
              <w:t xml:space="preserve">Summary Description </w:t>
            </w:r>
          </w:p>
        </w:tc>
        <w:tc>
          <w:tcPr>
            <w:tcW w:w="4921" w:type="dxa"/>
            <w:tcBorders>
              <w:top w:val="single" w:sz="4" w:space="0" w:color="000000"/>
              <w:left w:val="single" w:sz="4" w:space="0" w:color="000000"/>
              <w:bottom w:val="single" w:sz="4" w:space="0" w:color="000000"/>
              <w:right w:val="single" w:sz="4" w:space="0" w:color="000000"/>
            </w:tcBorders>
            <w:shd w:val="clear" w:color="auto" w:fill="C5E0B3"/>
          </w:tcPr>
          <w:p w14:paraId="46E0B241" w14:textId="77777777" w:rsidR="003D3187" w:rsidRDefault="00000000">
            <w:pPr>
              <w:spacing w:after="0" w:line="259" w:lineRule="auto"/>
              <w:ind w:left="3" w:firstLine="0"/>
            </w:pPr>
            <w:r>
              <w:rPr>
                <w:b/>
                <w:sz w:val="22"/>
              </w:rPr>
              <w:t xml:space="preserve">Additional Narrative </w:t>
            </w:r>
          </w:p>
        </w:tc>
        <w:tc>
          <w:tcPr>
            <w:tcW w:w="1036" w:type="dxa"/>
            <w:tcBorders>
              <w:top w:val="single" w:sz="4" w:space="0" w:color="000000"/>
              <w:left w:val="single" w:sz="4" w:space="0" w:color="000000"/>
              <w:bottom w:val="single" w:sz="4" w:space="0" w:color="000000"/>
              <w:right w:val="single" w:sz="4" w:space="0" w:color="000000"/>
            </w:tcBorders>
            <w:shd w:val="clear" w:color="auto" w:fill="C5E0B3"/>
          </w:tcPr>
          <w:p w14:paraId="35234E6A" w14:textId="77777777" w:rsidR="003D3187" w:rsidRDefault="00000000">
            <w:pPr>
              <w:spacing w:after="0" w:line="259" w:lineRule="auto"/>
              <w:ind w:left="606" w:hanging="477"/>
            </w:pPr>
            <w:r>
              <w:rPr>
                <w:b/>
                <w:sz w:val="22"/>
              </w:rPr>
              <w:t xml:space="preserve">2026/27 £m </w:t>
            </w:r>
          </w:p>
        </w:tc>
        <w:tc>
          <w:tcPr>
            <w:tcW w:w="1012" w:type="dxa"/>
            <w:tcBorders>
              <w:top w:val="single" w:sz="4" w:space="0" w:color="000000"/>
              <w:left w:val="single" w:sz="4" w:space="0" w:color="000000"/>
              <w:bottom w:val="single" w:sz="4" w:space="0" w:color="000000"/>
              <w:right w:val="single" w:sz="4" w:space="0" w:color="000000"/>
            </w:tcBorders>
            <w:shd w:val="clear" w:color="auto" w:fill="C5E0B3"/>
          </w:tcPr>
          <w:p w14:paraId="26841A71" w14:textId="77777777" w:rsidR="003D3187" w:rsidRDefault="00000000">
            <w:pPr>
              <w:spacing w:after="0" w:line="259" w:lineRule="auto"/>
              <w:ind w:left="582" w:hanging="477"/>
            </w:pPr>
            <w:r>
              <w:rPr>
                <w:b/>
                <w:sz w:val="22"/>
              </w:rPr>
              <w:t xml:space="preserve">2027/28 £m </w:t>
            </w:r>
          </w:p>
        </w:tc>
        <w:tc>
          <w:tcPr>
            <w:tcW w:w="1012" w:type="dxa"/>
            <w:tcBorders>
              <w:top w:val="single" w:sz="4" w:space="0" w:color="000000"/>
              <w:left w:val="single" w:sz="4" w:space="0" w:color="000000"/>
              <w:bottom w:val="single" w:sz="4" w:space="0" w:color="000000"/>
              <w:right w:val="single" w:sz="4" w:space="0" w:color="000000"/>
            </w:tcBorders>
            <w:shd w:val="clear" w:color="auto" w:fill="C5E0B3"/>
          </w:tcPr>
          <w:p w14:paraId="34F7240A" w14:textId="77777777" w:rsidR="003D3187" w:rsidRDefault="00000000">
            <w:pPr>
              <w:spacing w:after="0" w:line="259" w:lineRule="auto"/>
              <w:ind w:left="582" w:hanging="477"/>
            </w:pPr>
            <w:r>
              <w:rPr>
                <w:b/>
                <w:sz w:val="22"/>
              </w:rPr>
              <w:t xml:space="preserve">2028/29 £m </w:t>
            </w:r>
          </w:p>
        </w:tc>
        <w:tc>
          <w:tcPr>
            <w:tcW w:w="1117" w:type="dxa"/>
            <w:tcBorders>
              <w:top w:val="single" w:sz="4" w:space="0" w:color="000000"/>
              <w:left w:val="single" w:sz="4" w:space="0" w:color="000000"/>
              <w:bottom w:val="single" w:sz="4" w:space="0" w:color="000000"/>
              <w:right w:val="single" w:sz="4" w:space="0" w:color="000000"/>
            </w:tcBorders>
            <w:shd w:val="clear" w:color="auto" w:fill="C5E0B3"/>
          </w:tcPr>
          <w:p w14:paraId="082E55F3" w14:textId="77777777" w:rsidR="003D3187" w:rsidRDefault="00000000">
            <w:pPr>
              <w:spacing w:after="0" w:line="259" w:lineRule="auto"/>
              <w:ind w:left="687" w:hanging="477"/>
            </w:pPr>
            <w:r>
              <w:rPr>
                <w:b/>
                <w:sz w:val="22"/>
              </w:rPr>
              <w:t xml:space="preserve">2029/30 £m </w:t>
            </w:r>
          </w:p>
        </w:tc>
        <w:tc>
          <w:tcPr>
            <w:tcW w:w="1300" w:type="dxa"/>
            <w:tcBorders>
              <w:top w:val="single" w:sz="4" w:space="0" w:color="000000"/>
              <w:left w:val="single" w:sz="4" w:space="0" w:color="000000"/>
              <w:bottom w:val="single" w:sz="4" w:space="0" w:color="000000"/>
              <w:right w:val="single" w:sz="4" w:space="0" w:color="000000"/>
            </w:tcBorders>
            <w:shd w:val="clear" w:color="auto" w:fill="C5E0B3"/>
          </w:tcPr>
          <w:p w14:paraId="74A3F53C" w14:textId="77777777" w:rsidR="003D3187" w:rsidRDefault="00000000">
            <w:pPr>
              <w:spacing w:after="0" w:line="259" w:lineRule="auto"/>
              <w:ind w:left="0" w:right="56" w:firstLine="0"/>
              <w:jc w:val="right"/>
            </w:pPr>
            <w:r>
              <w:rPr>
                <w:b/>
                <w:sz w:val="22"/>
              </w:rPr>
              <w:t xml:space="preserve">Cumulative £m </w:t>
            </w:r>
          </w:p>
        </w:tc>
      </w:tr>
      <w:tr w:rsidR="003D3187" w14:paraId="636EAC0F" w14:textId="77777777">
        <w:trPr>
          <w:trHeight w:val="770"/>
        </w:trPr>
        <w:tc>
          <w:tcPr>
            <w:tcW w:w="1375" w:type="dxa"/>
            <w:tcBorders>
              <w:top w:val="single" w:sz="4" w:space="0" w:color="000000"/>
              <w:left w:val="single" w:sz="4" w:space="0" w:color="000000"/>
              <w:bottom w:val="single" w:sz="4" w:space="0" w:color="000000"/>
              <w:right w:val="single" w:sz="4" w:space="0" w:color="000000"/>
            </w:tcBorders>
          </w:tcPr>
          <w:p w14:paraId="1FBC875F" w14:textId="77777777" w:rsidR="003D3187" w:rsidRDefault="00000000">
            <w:pPr>
              <w:spacing w:after="0" w:line="259" w:lineRule="auto"/>
              <w:ind w:left="0" w:firstLine="0"/>
            </w:pPr>
            <w:r>
              <w:rPr>
                <w:sz w:val="22"/>
              </w:rPr>
              <w:t xml:space="preserve">ASC&amp;H </w:t>
            </w:r>
          </w:p>
        </w:tc>
        <w:tc>
          <w:tcPr>
            <w:tcW w:w="3124" w:type="dxa"/>
            <w:tcBorders>
              <w:top w:val="single" w:sz="4" w:space="0" w:color="000000"/>
              <w:left w:val="single" w:sz="4" w:space="0" w:color="000000"/>
              <w:bottom w:val="single" w:sz="4" w:space="0" w:color="000000"/>
              <w:right w:val="single" w:sz="4" w:space="0" w:color="000000"/>
            </w:tcBorders>
          </w:tcPr>
          <w:p w14:paraId="1EA2137E" w14:textId="77777777" w:rsidR="003D3187" w:rsidRDefault="00000000">
            <w:pPr>
              <w:spacing w:after="0" w:line="259" w:lineRule="auto"/>
              <w:ind w:left="3" w:firstLine="0"/>
            </w:pPr>
            <w:r>
              <w:rPr>
                <w:sz w:val="22"/>
              </w:rPr>
              <w:t xml:space="preserve">Review of Residential &amp; </w:t>
            </w:r>
          </w:p>
          <w:p w14:paraId="4AD2834B" w14:textId="77777777" w:rsidR="003D3187" w:rsidRDefault="00000000">
            <w:pPr>
              <w:spacing w:after="0" w:line="259" w:lineRule="auto"/>
              <w:ind w:left="3" w:firstLine="0"/>
            </w:pPr>
            <w:r>
              <w:rPr>
                <w:sz w:val="22"/>
              </w:rPr>
              <w:t xml:space="preserve">Nursing Placements Pricing </w:t>
            </w:r>
          </w:p>
          <w:p w14:paraId="0903A8C5" w14:textId="77777777" w:rsidR="003D3187" w:rsidRDefault="00000000">
            <w:pPr>
              <w:spacing w:after="0" w:line="259" w:lineRule="auto"/>
              <w:ind w:left="3" w:firstLine="0"/>
            </w:pPr>
            <w:r>
              <w:rPr>
                <w:sz w:val="22"/>
              </w:rPr>
              <w:t xml:space="preserve">Structure  </w:t>
            </w:r>
          </w:p>
        </w:tc>
        <w:tc>
          <w:tcPr>
            <w:tcW w:w="4921" w:type="dxa"/>
            <w:tcBorders>
              <w:top w:val="single" w:sz="4" w:space="0" w:color="000000"/>
              <w:left w:val="single" w:sz="4" w:space="0" w:color="000000"/>
              <w:bottom w:val="single" w:sz="4" w:space="0" w:color="000000"/>
              <w:right w:val="single" w:sz="4" w:space="0" w:color="000000"/>
            </w:tcBorders>
          </w:tcPr>
          <w:p w14:paraId="6C6E3CD8" w14:textId="77777777" w:rsidR="003D3187" w:rsidRDefault="00000000">
            <w:pPr>
              <w:spacing w:after="0" w:line="259" w:lineRule="auto"/>
              <w:ind w:left="3" w:firstLine="0"/>
            </w:pPr>
            <w:r>
              <w:rPr>
                <w:sz w:val="22"/>
              </w:rPr>
              <w:t xml:space="preserve">A review of pricing structures for care packages/placements </w:t>
            </w:r>
            <w:r>
              <w:rPr>
                <w:sz w:val="22"/>
              </w:rPr>
              <w:tab/>
              <w:t xml:space="preserve"> </w:t>
            </w:r>
          </w:p>
        </w:tc>
        <w:tc>
          <w:tcPr>
            <w:tcW w:w="1036" w:type="dxa"/>
            <w:tcBorders>
              <w:top w:val="single" w:sz="4" w:space="0" w:color="000000"/>
              <w:left w:val="single" w:sz="4" w:space="0" w:color="000000"/>
              <w:bottom w:val="single" w:sz="4" w:space="0" w:color="000000"/>
              <w:right w:val="single" w:sz="4" w:space="0" w:color="000000"/>
            </w:tcBorders>
            <w:vAlign w:val="bottom"/>
          </w:tcPr>
          <w:p w14:paraId="5C211BE9" w14:textId="77777777" w:rsidR="003D3187" w:rsidRDefault="00000000">
            <w:pPr>
              <w:spacing w:after="0" w:line="259" w:lineRule="auto"/>
              <w:ind w:left="0" w:right="56" w:firstLine="0"/>
              <w:jc w:val="right"/>
            </w:pPr>
            <w:r>
              <w:rPr>
                <w:sz w:val="22"/>
              </w:rPr>
              <w:t xml:space="preserve">(0.250) </w:t>
            </w:r>
          </w:p>
        </w:tc>
        <w:tc>
          <w:tcPr>
            <w:tcW w:w="1012" w:type="dxa"/>
            <w:tcBorders>
              <w:top w:val="single" w:sz="4" w:space="0" w:color="000000"/>
              <w:left w:val="single" w:sz="4" w:space="0" w:color="000000"/>
              <w:bottom w:val="single" w:sz="4" w:space="0" w:color="000000"/>
              <w:right w:val="single" w:sz="4" w:space="0" w:color="000000"/>
            </w:tcBorders>
            <w:vAlign w:val="bottom"/>
          </w:tcPr>
          <w:p w14:paraId="7D3893C8" w14:textId="77777777" w:rsidR="003D3187" w:rsidRDefault="00000000">
            <w:pPr>
              <w:spacing w:after="0" w:line="259" w:lineRule="auto"/>
              <w:ind w:left="0" w:right="56" w:firstLine="0"/>
              <w:jc w:val="right"/>
            </w:pPr>
            <w:r>
              <w:rPr>
                <w:sz w:val="22"/>
              </w:rPr>
              <w:t xml:space="preserve">(0.250) </w:t>
            </w:r>
          </w:p>
        </w:tc>
        <w:tc>
          <w:tcPr>
            <w:tcW w:w="1012" w:type="dxa"/>
            <w:tcBorders>
              <w:top w:val="single" w:sz="4" w:space="0" w:color="000000"/>
              <w:left w:val="single" w:sz="4" w:space="0" w:color="000000"/>
              <w:bottom w:val="single" w:sz="4" w:space="0" w:color="000000"/>
              <w:right w:val="single" w:sz="4" w:space="0" w:color="000000"/>
            </w:tcBorders>
            <w:vAlign w:val="bottom"/>
          </w:tcPr>
          <w:p w14:paraId="7E8A4D33" w14:textId="77777777" w:rsidR="003D3187" w:rsidRDefault="00000000">
            <w:pPr>
              <w:spacing w:after="0" w:line="259" w:lineRule="auto"/>
              <w:ind w:left="0" w:right="56"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1AC08CF3" w14:textId="77777777" w:rsidR="003D3187" w:rsidRDefault="00000000">
            <w:pPr>
              <w:spacing w:after="0" w:line="259" w:lineRule="auto"/>
              <w:ind w:left="0" w:right="56"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67EBFDA6" w14:textId="77777777" w:rsidR="003D3187" w:rsidRDefault="00000000">
            <w:pPr>
              <w:spacing w:after="0" w:line="259" w:lineRule="auto"/>
              <w:ind w:left="0" w:right="56" w:firstLine="0"/>
              <w:jc w:val="right"/>
            </w:pPr>
            <w:r>
              <w:rPr>
                <w:sz w:val="22"/>
              </w:rPr>
              <w:t xml:space="preserve">(0.500) </w:t>
            </w:r>
          </w:p>
        </w:tc>
      </w:tr>
      <w:tr w:rsidR="003D3187" w14:paraId="4483398E" w14:textId="77777777">
        <w:trPr>
          <w:trHeight w:val="516"/>
        </w:trPr>
        <w:tc>
          <w:tcPr>
            <w:tcW w:w="1375" w:type="dxa"/>
            <w:tcBorders>
              <w:top w:val="single" w:sz="4" w:space="0" w:color="000000"/>
              <w:left w:val="single" w:sz="4" w:space="0" w:color="000000"/>
              <w:bottom w:val="single" w:sz="4" w:space="0" w:color="000000"/>
              <w:right w:val="single" w:sz="4" w:space="0" w:color="000000"/>
            </w:tcBorders>
          </w:tcPr>
          <w:p w14:paraId="27CBA4BA" w14:textId="77777777" w:rsidR="003D3187" w:rsidRDefault="00000000">
            <w:pPr>
              <w:spacing w:after="0" w:line="259" w:lineRule="auto"/>
              <w:ind w:left="0" w:firstLine="0"/>
            </w:pPr>
            <w:r>
              <w:rPr>
                <w:sz w:val="22"/>
              </w:rPr>
              <w:t xml:space="preserve">ASC&amp;H </w:t>
            </w:r>
          </w:p>
        </w:tc>
        <w:tc>
          <w:tcPr>
            <w:tcW w:w="3124" w:type="dxa"/>
            <w:tcBorders>
              <w:top w:val="single" w:sz="4" w:space="0" w:color="000000"/>
              <w:left w:val="single" w:sz="4" w:space="0" w:color="000000"/>
              <w:bottom w:val="single" w:sz="4" w:space="0" w:color="000000"/>
              <w:right w:val="single" w:sz="4" w:space="0" w:color="000000"/>
            </w:tcBorders>
          </w:tcPr>
          <w:p w14:paraId="4A7B2EEA" w14:textId="77777777" w:rsidR="003D3187" w:rsidRDefault="00000000">
            <w:pPr>
              <w:spacing w:after="0" w:line="259" w:lineRule="auto"/>
              <w:ind w:left="3" w:firstLine="0"/>
            </w:pPr>
            <w:r>
              <w:rPr>
                <w:sz w:val="22"/>
              </w:rPr>
              <w:t xml:space="preserve">Housing/Accommodation </w:t>
            </w:r>
          </w:p>
          <w:p w14:paraId="72C39B73" w14:textId="77777777" w:rsidR="003D3187" w:rsidRDefault="00000000">
            <w:pPr>
              <w:spacing w:after="0" w:line="259" w:lineRule="auto"/>
              <w:ind w:left="3" w:firstLine="0"/>
            </w:pPr>
            <w:r>
              <w:rPr>
                <w:sz w:val="22"/>
              </w:rPr>
              <w:t xml:space="preserve">Strategy </w:t>
            </w:r>
          </w:p>
        </w:tc>
        <w:tc>
          <w:tcPr>
            <w:tcW w:w="4921" w:type="dxa"/>
            <w:tcBorders>
              <w:top w:val="single" w:sz="4" w:space="0" w:color="000000"/>
              <w:left w:val="single" w:sz="4" w:space="0" w:color="000000"/>
              <w:bottom w:val="single" w:sz="4" w:space="0" w:color="000000"/>
              <w:right w:val="single" w:sz="4" w:space="0" w:color="000000"/>
            </w:tcBorders>
          </w:tcPr>
          <w:p w14:paraId="552F7FD0" w14:textId="77777777" w:rsidR="003D3187" w:rsidRDefault="00000000">
            <w:pPr>
              <w:spacing w:after="0" w:line="259" w:lineRule="auto"/>
              <w:ind w:left="3" w:firstLine="0"/>
            </w:pPr>
            <w:r>
              <w:rPr>
                <w:sz w:val="22"/>
              </w:rPr>
              <w:t xml:space="preserve">Review of Adult Social Care Housing Related Support contract </w:t>
            </w:r>
          </w:p>
        </w:tc>
        <w:tc>
          <w:tcPr>
            <w:tcW w:w="1036" w:type="dxa"/>
            <w:tcBorders>
              <w:top w:val="single" w:sz="4" w:space="0" w:color="000000"/>
              <w:left w:val="single" w:sz="4" w:space="0" w:color="000000"/>
              <w:bottom w:val="single" w:sz="4" w:space="0" w:color="000000"/>
              <w:right w:val="single" w:sz="4" w:space="0" w:color="000000"/>
            </w:tcBorders>
            <w:vAlign w:val="bottom"/>
          </w:tcPr>
          <w:p w14:paraId="1A474447" w14:textId="77777777" w:rsidR="003D3187" w:rsidRDefault="00000000">
            <w:pPr>
              <w:spacing w:after="0" w:line="259" w:lineRule="auto"/>
              <w:ind w:left="0" w:right="56" w:firstLine="0"/>
              <w:jc w:val="right"/>
            </w:pPr>
            <w:r>
              <w:rPr>
                <w:sz w:val="22"/>
              </w:rPr>
              <w:t xml:space="preserve">(1.023) </w:t>
            </w:r>
          </w:p>
        </w:tc>
        <w:tc>
          <w:tcPr>
            <w:tcW w:w="1012" w:type="dxa"/>
            <w:tcBorders>
              <w:top w:val="single" w:sz="4" w:space="0" w:color="000000"/>
              <w:left w:val="single" w:sz="4" w:space="0" w:color="000000"/>
              <w:bottom w:val="single" w:sz="4" w:space="0" w:color="000000"/>
              <w:right w:val="single" w:sz="4" w:space="0" w:color="000000"/>
            </w:tcBorders>
            <w:vAlign w:val="bottom"/>
          </w:tcPr>
          <w:p w14:paraId="3B1318FB" w14:textId="77777777" w:rsidR="003D3187" w:rsidRDefault="00000000">
            <w:pPr>
              <w:spacing w:after="0" w:line="259" w:lineRule="auto"/>
              <w:ind w:left="0" w:right="56"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66B23012" w14:textId="77777777" w:rsidR="003D3187" w:rsidRDefault="00000000">
            <w:pPr>
              <w:spacing w:after="0" w:line="259" w:lineRule="auto"/>
              <w:ind w:left="0" w:right="56"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5CEB090A" w14:textId="77777777" w:rsidR="003D3187" w:rsidRDefault="00000000">
            <w:pPr>
              <w:spacing w:after="0" w:line="259" w:lineRule="auto"/>
              <w:ind w:left="0" w:right="56"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3FC6B10E" w14:textId="77777777" w:rsidR="003D3187" w:rsidRDefault="00000000">
            <w:pPr>
              <w:spacing w:after="0" w:line="259" w:lineRule="auto"/>
              <w:ind w:left="0" w:right="56" w:firstLine="0"/>
              <w:jc w:val="right"/>
            </w:pPr>
            <w:r>
              <w:rPr>
                <w:sz w:val="22"/>
              </w:rPr>
              <w:t xml:space="preserve">(1.023) </w:t>
            </w:r>
          </w:p>
        </w:tc>
      </w:tr>
      <w:tr w:rsidR="003D3187" w14:paraId="1E1D5F24" w14:textId="77777777">
        <w:trPr>
          <w:trHeight w:val="586"/>
        </w:trPr>
        <w:tc>
          <w:tcPr>
            <w:tcW w:w="1375" w:type="dxa"/>
            <w:tcBorders>
              <w:top w:val="single" w:sz="4" w:space="0" w:color="000000"/>
              <w:left w:val="single" w:sz="4" w:space="0" w:color="000000"/>
              <w:bottom w:val="single" w:sz="4" w:space="0" w:color="000000"/>
              <w:right w:val="single" w:sz="4" w:space="0" w:color="000000"/>
            </w:tcBorders>
          </w:tcPr>
          <w:p w14:paraId="7943E3C2" w14:textId="77777777" w:rsidR="003D3187" w:rsidRDefault="00000000">
            <w:pPr>
              <w:spacing w:after="0" w:line="259" w:lineRule="auto"/>
              <w:ind w:left="0" w:firstLine="0"/>
            </w:pPr>
            <w:r>
              <w:rPr>
                <w:sz w:val="22"/>
              </w:rPr>
              <w:t xml:space="preserve">ASC&amp;H </w:t>
            </w:r>
          </w:p>
        </w:tc>
        <w:tc>
          <w:tcPr>
            <w:tcW w:w="3124" w:type="dxa"/>
            <w:tcBorders>
              <w:top w:val="single" w:sz="4" w:space="0" w:color="000000"/>
              <w:left w:val="single" w:sz="4" w:space="0" w:color="000000"/>
              <w:bottom w:val="single" w:sz="4" w:space="0" w:color="000000"/>
              <w:right w:val="single" w:sz="4" w:space="0" w:color="000000"/>
            </w:tcBorders>
          </w:tcPr>
          <w:p w14:paraId="3C858E40" w14:textId="77777777" w:rsidR="003D3187" w:rsidRDefault="00000000">
            <w:pPr>
              <w:spacing w:after="0" w:line="259" w:lineRule="auto"/>
              <w:ind w:left="3" w:firstLine="0"/>
            </w:pPr>
            <w:r>
              <w:rPr>
                <w:sz w:val="22"/>
              </w:rPr>
              <w:t xml:space="preserve">Disabled Facilities Grant Utilisation  </w:t>
            </w:r>
          </w:p>
        </w:tc>
        <w:tc>
          <w:tcPr>
            <w:tcW w:w="4921" w:type="dxa"/>
            <w:tcBorders>
              <w:top w:val="single" w:sz="4" w:space="0" w:color="000000"/>
              <w:left w:val="single" w:sz="4" w:space="0" w:color="000000"/>
              <w:bottom w:val="single" w:sz="4" w:space="0" w:color="000000"/>
              <w:right w:val="single" w:sz="4" w:space="0" w:color="000000"/>
            </w:tcBorders>
          </w:tcPr>
          <w:p w14:paraId="6AAF01FE" w14:textId="77777777" w:rsidR="003D3187" w:rsidRDefault="00000000">
            <w:pPr>
              <w:spacing w:after="0" w:line="259" w:lineRule="auto"/>
              <w:ind w:left="3" w:firstLine="0"/>
            </w:pPr>
            <w:r>
              <w:rPr>
                <w:sz w:val="22"/>
              </w:rPr>
              <w:t xml:space="preserve">Using DfG capital funding where appropriate to offset revenue costs </w:t>
            </w:r>
          </w:p>
        </w:tc>
        <w:tc>
          <w:tcPr>
            <w:tcW w:w="1036" w:type="dxa"/>
            <w:tcBorders>
              <w:top w:val="single" w:sz="4" w:space="0" w:color="000000"/>
              <w:left w:val="single" w:sz="4" w:space="0" w:color="000000"/>
              <w:bottom w:val="single" w:sz="4" w:space="0" w:color="000000"/>
              <w:right w:val="single" w:sz="4" w:space="0" w:color="000000"/>
            </w:tcBorders>
            <w:vAlign w:val="bottom"/>
          </w:tcPr>
          <w:p w14:paraId="56EC57D2" w14:textId="77777777" w:rsidR="003D3187" w:rsidRDefault="00000000">
            <w:pPr>
              <w:spacing w:after="0" w:line="259" w:lineRule="auto"/>
              <w:ind w:left="0" w:right="56" w:firstLine="0"/>
              <w:jc w:val="right"/>
            </w:pPr>
            <w:r>
              <w:rPr>
                <w:sz w:val="22"/>
              </w:rPr>
              <w:t xml:space="preserve">(0.030) </w:t>
            </w:r>
          </w:p>
        </w:tc>
        <w:tc>
          <w:tcPr>
            <w:tcW w:w="1012" w:type="dxa"/>
            <w:tcBorders>
              <w:top w:val="single" w:sz="4" w:space="0" w:color="000000"/>
              <w:left w:val="single" w:sz="4" w:space="0" w:color="000000"/>
              <w:bottom w:val="single" w:sz="4" w:space="0" w:color="000000"/>
              <w:right w:val="single" w:sz="4" w:space="0" w:color="000000"/>
            </w:tcBorders>
            <w:vAlign w:val="bottom"/>
          </w:tcPr>
          <w:p w14:paraId="43F1F85E" w14:textId="77777777" w:rsidR="003D3187" w:rsidRDefault="00000000">
            <w:pPr>
              <w:spacing w:after="0" w:line="259" w:lineRule="auto"/>
              <w:ind w:left="0" w:right="56"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34D20943" w14:textId="77777777" w:rsidR="003D3187" w:rsidRDefault="00000000">
            <w:pPr>
              <w:spacing w:after="0" w:line="259" w:lineRule="auto"/>
              <w:ind w:left="0" w:right="56"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78BA2461" w14:textId="77777777" w:rsidR="003D3187" w:rsidRDefault="00000000">
            <w:pPr>
              <w:spacing w:after="0" w:line="259" w:lineRule="auto"/>
              <w:ind w:left="0" w:right="56"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1812A3AA" w14:textId="77777777" w:rsidR="003D3187" w:rsidRDefault="00000000">
            <w:pPr>
              <w:spacing w:after="0" w:line="259" w:lineRule="auto"/>
              <w:ind w:left="0" w:right="56" w:firstLine="0"/>
              <w:jc w:val="right"/>
            </w:pPr>
            <w:r>
              <w:rPr>
                <w:sz w:val="22"/>
              </w:rPr>
              <w:t xml:space="preserve">(0.030) </w:t>
            </w:r>
          </w:p>
        </w:tc>
      </w:tr>
      <w:tr w:rsidR="003D3187" w14:paraId="0A5B40CC" w14:textId="77777777">
        <w:trPr>
          <w:trHeight w:val="516"/>
        </w:trPr>
        <w:tc>
          <w:tcPr>
            <w:tcW w:w="1375" w:type="dxa"/>
            <w:tcBorders>
              <w:top w:val="single" w:sz="4" w:space="0" w:color="000000"/>
              <w:left w:val="single" w:sz="4" w:space="0" w:color="000000"/>
              <w:bottom w:val="single" w:sz="4" w:space="0" w:color="000000"/>
              <w:right w:val="single" w:sz="4" w:space="0" w:color="000000"/>
            </w:tcBorders>
          </w:tcPr>
          <w:p w14:paraId="67D7AC43" w14:textId="77777777" w:rsidR="003D3187" w:rsidRDefault="00000000">
            <w:pPr>
              <w:spacing w:after="0" w:line="259" w:lineRule="auto"/>
              <w:ind w:left="0" w:firstLine="0"/>
            </w:pPr>
            <w:r>
              <w:rPr>
                <w:sz w:val="22"/>
              </w:rPr>
              <w:t xml:space="preserve">ASC&amp;H </w:t>
            </w:r>
          </w:p>
        </w:tc>
        <w:tc>
          <w:tcPr>
            <w:tcW w:w="3124" w:type="dxa"/>
            <w:tcBorders>
              <w:top w:val="single" w:sz="4" w:space="0" w:color="000000"/>
              <w:left w:val="single" w:sz="4" w:space="0" w:color="000000"/>
              <w:bottom w:val="single" w:sz="4" w:space="0" w:color="000000"/>
              <w:right w:val="single" w:sz="4" w:space="0" w:color="000000"/>
            </w:tcBorders>
          </w:tcPr>
          <w:p w14:paraId="57F86B6B" w14:textId="77777777" w:rsidR="003D3187" w:rsidRDefault="00000000">
            <w:pPr>
              <w:spacing w:after="0" w:line="259" w:lineRule="auto"/>
              <w:ind w:left="3" w:firstLine="0"/>
            </w:pPr>
            <w:r>
              <w:rPr>
                <w:sz w:val="22"/>
              </w:rPr>
              <w:t xml:space="preserve">Brokerage Service For Self Funders </w:t>
            </w:r>
          </w:p>
        </w:tc>
        <w:tc>
          <w:tcPr>
            <w:tcW w:w="4921" w:type="dxa"/>
            <w:tcBorders>
              <w:top w:val="single" w:sz="4" w:space="0" w:color="000000"/>
              <w:left w:val="single" w:sz="4" w:space="0" w:color="000000"/>
              <w:bottom w:val="single" w:sz="4" w:space="0" w:color="000000"/>
              <w:right w:val="single" w:sz="4" w:space="0" w:color="000000"/>
            </w:tcBorders>
          </w:tcPr>
          <w:p w14:paraId="703DC2FB" w14:textId="77777777" w:rsidR="003D3187" w:rsidRDefault="00000000">
            <w:pPr>
              <w:spacing w:after="0" w:line="259" w:lineRule="auto"/>
              <w:ind w:left="3" w:firstLine="0"/>
            </w:pPr>
            <w:r>
              <w:rPr>
                <w:sz w:val="22"/>
              </w:rPr>
              <w:t xml:space="preserve">Charging a small fee to broker social care for self funders in keeping with Care Act. </w:t>
            </w:r>
          </w:p>
        </w:tc>
        <w:tc>
          <w:tcPr>
            <w:tcW w:w="1036" w:type="dxa"/>
            <w:tcBorders>
              <w:top w:val="single" w:sz="4" w:space="0" w:color="000000"/>
              <w:left w:val="single" w:sz="4" w:space="0" w:color="000000"/>
              <w:bottom w:val="single" w:sz="4" w:space="0" w:color="000000"/>
              <w:right w:val="single" w:sz="4" w:space="0" w:color="000000"/>
            </w:tcBorders>
            <w:vAlign w:val="bottom"/>
          </w:tcPr>
          <w:p w14:paraId="0C6E1298" w14:textId="77777777" w:rsidR="003D3187" w:rsidRDefault="00000000">
            <w:pPr>
              <w:spacing w:after="0" w:line="259" w:lineRule="auto"/>
              <w:ind w:left="0" w:right="56" w:firstLine="0"/>
              <w:jc w:val="right"/>
            </w:pPr>
            <w:r>
              <w:rPr>
                <w:sz w:val="22"/>
              </w:rPr>
              <w:t xml:space="preserve">(0.072) </w:t>
            </w:r>
          </w:p>
        </w:tc>
        <w:tc>
          <w:tcPr>
            <w:tcW w:w="1012" w:type="dxa"/>
            <w:tcBorders>
              <w:top w:val="single" w:sz="4" w:space="0" w:color="000000"/>
              <w:left w:val="single" w:sz="4" w:space="0" w:color="000000"/>
              <w:bottom w:val="single" w:sz="4" w:space="0" w:color="000000"/>
              <w:right w:val="single" w:sz="4" w:space="0" w:color="000000"/>
            </w:tcBorders>
            <w:vAlign w:val="bottom"/>
          </w:tcPr>
          <w:p w14:paraId="75CC0AFC" w14:textId="77777777" w:rsidR="003D3187" w:rsidRDefault="00000000">
            <w:pPr>
              <w:spacing w:after="0" w:line="259" w:lineRule="auto"/>
              <w:ind w:left="0" w:right="56"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2FCE6779" w14:textId="77777777" w:rsidR="003D3187" w:rsidRDefault="00000000">
            <w:pPr>
              <w:spacing w:after="0" w:line="259" w:lineRule="auto"/>
              <w:ind w:left="0" w:right="56"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1C64659A" w14:textId="77777777" w:rsidR="003D3187" w:rsidRDefault="00000000">
            <w:pPr>
              <w:spacing w:after="0" w:line="259" w:lineRule="auto"/>
              <w:ind w:left="0" w:right="56"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529A73DA" w14:textId="77777777" w:rsidR="003D3187" w:rsidRDefault="00000000">
            <w:pPr>
              <w:spacing w:after="0" w:line="259" w:lineRule="auto"/>
              <w:ind w:left="0" w:right="56" w:firstLine="0"/>
              <w:jc w:val="right"/>
            </w:pPr>
            <w:r>
              <w:rPr>
                <w:sz w:val="22"/>
              </w:rPr>
              <w:t xml:space="preserve">(0.072) </w:t>
            </w:r>
          </w:p>
        </w:tc>
      </w:tr>
      <w:tr w:rsidR="003D3187" w14:paraId="3B36BD80" w14:textId="77777777">
        <w:trPr>
          <w:trHeight w:val="586"/>
        </w:trPr>
        <w:tc>
          <w:tcPr>
            <w:tcW w:w="1375" w:type="dxa"/>
            <w:tcBorders>
              <w:top w:val="single" w:sz="4" w:space="0" w:color="000000"/>
              <w:left w:val="single" w:sz="4" w:space="0" w:color="000000"/>
              <w:bottom w:val="single" w:sz="4" w:space="0" w:color="000000"/>
              <w:right w:val="single" w:sz="4" w:space="0" w:color="000000"/>
            </w:tcBorders>
          </w:tcPr>
          <w:p w14:paraId="69D19A57" w14:textId="77777777" w:rsidR="003D3187" w:rsidRDefault="00000000">
            <w:pPr>
              <w:spacing w:after="0" w:line="259" w:lineRule="auto"/>
              <w:ind w:left="0" w:firstLine="0"/>
            </w:pPr>
            <w:r>
              <w:rPr>
                <w:sz w:val="22"/>
              </w:rPr>
              <w:t xml:space="preserve">ASC&amp;H </w:t>
            </w:r>
          </w:p>
        </w:tc>
        <w:tc>
          <w:tcPr>
            <w:tcW w:w="3124" w:type="dxa"/>
            <w:tcBorders>
              <w:top w:val="single" w:sz="4" w:space="0" w:color="000000"/>
              <w:left w:val="single" w:sz="4" w:space="0" w:color="000000"/>
              <w:bottom w:val="single" w:sz="4" w:space="0" w:color="000000"/>
              <w:right w:val="single" w:sz="4" w:space="0" w:color="000000"/>
            </w:tcBorders>
          </w:tcPr>
          <w:p w14:paraId="291AD958" w14:textId="77777777" w:rsidR="003D3187" w:rsidRDefault="00000000">
            <w:pPr>
              <w:spacing w:after="0" w:line="259" w:lineRule="auto"/>
              <w:ind w:left="3" w:right="8" w:firstLine="0"/>
            </w:pPr>
            <w:r>
              <w:rPr>
                <w:sz w:val="22"/>
              </w:rPr>
              <w:t xml:space="preserve">Working Age Care and Support Reviews </w:t>
            </w:r>
          </w:p>
        </w:tc>
        <w:tc>
          <w:tcPr>
            <w:tcW w:w="4921" w:type="dxa"/>
            <w:tcBorders>
              <w:top w:val="single" w:sz="4" w:space="0" w:color="000000"/>
              <w:left w:val="single" w:sz="4" w:space="0" w:color="000000"/>
              <w:bottom w:val="single" w:sz="4" w:space="0" w:color="000000"/>
              <w:right w:val="single" w:sz="4" w:space="0" w:color="000000"/>
            </w:tcBorders>
          </w:tcPr>
          <w:p w14:paraId="0610C15D" w14:textId="77777777" w:rsidR="003D3187" w:rsidRDefault="00000000">
            <w:pPr>
              <w:spacing w:after="0" w:line="259" w:lineRule="auto"/>
              <w:ind w:left="3" w:firstLine="0"/>
            </w:pPr>
            <w:r>
              <w:rPr>
                <w:sz w:val="22"/>
              </w:rPr>
              <w:t xml:space="preserve">Resuming regular Care Act Reviews in keeping with best practice. </w:t>
            </w:r>
          </w:p>
        </w:tc>
        <w:tc>
          <w:tcPr>
            <w:tcW w:w="1036" w:type="dxa"/>
            <w:tcBorders>
              <w:top w:val="single" w:sz="4" w:space="0" w:color="000000"/>
              <w:left w:val="single" w:sz="4" w:space="0" w:color="000000"/>
              <w:bottom w:val="single" w:sz="4" w:space="0" w:color="000000"/>
              <w:right w:val="single" w:sz="4" w:space="0" w:color="000000"/>
            </w:tcBorders>
            <w:vAlign w:val="bottom"/>
          </w:tcPr>
          <w:p w14:paraId="4BD6CFB2" w14:textId="77777777" w:rsidR="003D3187" w:rsidRDefault="00000000">
            <w:pPr>
              <w:spacing w:after="0" w:line="259" w:lineRule="auto"/>
              <w:ind w:left="0" w:right="56" w:firstLine="0"/>
              <w:jc w:val="right"/>
            </w:pPr>
            <w:r>
              <w:rPr>
                <w:sz w:val="22"/>
              </w:rPr>
              <w:t xml:space="preserve">(0.400)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0AEAC160" w14:textId="77777777" w:rsidR="003D3187" w:rsidRDefault="00000000">
            <w:pPr>
              <w:spacing w:after="0" w:line="259" w:lineRule="auto"/>
              <w:ind w:left="0" w:right="56" w:firstLine="0"/>
              <w:jc w:val="right"/>
            </w:pPr>
            <w:r>
              <w:rPr>
                <w:sz w:val="22"/>
              </w:rPr>
              <w:t xml:space="preserve">(0.300)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6B092DF4" w14:textId="77777777" w:rsidR="003D3187" w:rsidRDefault="00000000">
            <w:pPr>
              <w:spacing w:after="0" w:line="259" w:lineRule="auto"/>
              <w:ind w:left="0" w:right="56" w:firstLine="0"/>
              <w:jc w:val="right"/>
            </w:pPr>
            <w:r>
              <w:rPr>
                <w:sz w:val="22"/>
              </w:rPr>
              <w:t xml:space="preserve">(0.300)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5A34DEAD" w14:textId="77777777" w:rsidR="003D3187" w:rsidRDefault="00000000">
            <w:pPr>
              <w:spacing w:after="0" w:line="259" w:lineRule="auto"/>
              <w:ind w:left="0" w:right="56" w:firstLine="0"/>
              <w:jc w:val="right"/>
            </w:pPr>
            <w:r>
              <w:rPr>
                <w:sz w:val="22"/>
              </w:rPr>
              <w:t xml:space="preserve">(0.300)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394F8890" w14:textId="77777777" w:rsidR="003D3187" w:rsidRDefault="00000000">
            <w:pPr>
              <w:spacing w:after="0" w:line="259" w:lineRule="auto"/>
              <w:ind w:left="0" w:right="56" w:firstLine="0"/>
              <w:jc w:val="right"/>
            </w:pPr>
            <w:r>
              <w:rPr>
                <w:sz w:val="22"/>
              </w:rPr>
              <w:t xml:space="preserve">(1.300) </w:t>
            </w:r>
          </w:p>
        </w:tc>
      </w:tr>
      <w:tr w:rsidR="003D3187" w14:paraId="1EC0F40D" w14:textId="77777777">
        <w:trPr>
          <w:trHeight w:val="298"/>
        </w:trPr>
        <w:tc>
          <w:tcPr>
            <w:tcW w:w="1375" w:type="dxa"/>
            <w:tcBorders>
              <w:top w:val="single" w:sz="4" w:space="0" w:color="000000"/>
              <w:left w:val="single" w:sz="4" w:space="0" w:color="000000"/>
              <w:bottom w:val="single" w:sz="4" w:space="0" w:color="000000"/>
              <w:right w:val="single" w:sz="4" w:space="0" w:color="000000"/>
            </w:tcBorders>
          </w:tcPr>
          <w:p w14:paraId="3E10B263" w14:textId="77777777" w:rsidR="003D3187" w:rsidRDefault="00000000">
            <w:pPr>
              <w:spacing w:after="0" w:line="259" w:lineRule="auto"/>
              <w:ind w:left="0" w:firstLine="0"/>
            </w:pPr>
            <w:r>
              <w:rPr>
                <w:sz w:val="22"/>
              </w:rPr>
              <w:t xml:space="preserve">ASC&amp;H </w:t>
            </w:r>
          </w:p>
        </w:tc>
        <w:tc>
          <w:tcPr>
            <w:tcW w:w="3124" w:type="dxa"/>
            <w:tcBorders>
              <w:top w:val="single" w:sz="4" w:space="0" w:color="000000"/>
              <w:left w:val="single" w:sz="4" w:space="0" w:color="000000"/>
              <w:bottom w:val="single" w:sz="4" w:space="0" w:color="000000"/>
              <w:right w:val="single" w:sz="4" w:space="0" w:color="000000"/>
            </w:tcBorders>
          </w:tcPr>
          <w:p w14:paraId="21986678" w14:textId="77777777" w:rsidR="003D3187" w:rsidRDefault="00000000">
            <w:pPr>
              <w:spacing w:after="0" w:line="259" w:lineRule="auto"/>
              <w:ind w:left="3" w:firstLine="0"/>
            </w:pPr>
            <w:r>
              <w:rPr>
                <w:sz w:val="22"/>
              </w:rPr>
              <w:t xml:space="preserve">Fairer Charging Assessments </w:t>
            </w:r>
          </w:p>
        </w:tc>
        <w:tc>
          <w:tcPr>
            <w:tcW w:w="4921" w:type="dxa"/>
            <w:tcBorders>
              <w:top w:val="single" w:sz="4" w:space="0" w:color="000000"/>
              <w:left w:val="single" w:sz="4" w:space="0" w:color="000000"/>
              <w:bottom w:val="single" w:sz="4" w:space="0" w:color="000000"/>
              <w:right w:val="single" w:sz="4" w:space="0" w:color="000000"/>
            </w:tcBorders>
          </w:tcPr>
          <w:p w14:paraId="6E9FCFA6" w14:textId="77777777" w:rsidR="003D3187" w:rsidRDefault="00000000">
            <w:pPr>
              <w:spacing w:after="0" w:line="259" w:lineRule="auto"/>
              <w:ind w:left="3" w:firstLine="0"/>
            </w:pPr>
            <w:r>
              <w:rPr>
                <w:sz w:val="22"/>
              </w:rPr>
              <w:t xml:space="preserve">Review Fairer Charging assessments </w:t>
            </w:r>
          </w:p>
        </w:tc>
        <w:tc>
          <w:tcPr>
            <w:tcW w:w="1036" w:type="dxa"/>
            <w:tcBorders>
              <w:top w:val="single" w:sz="4" w:space="0" w:color="000000"/>
              <w:left w:val="single" w:sz="4" w:space="0" w:color="000000"/>
              <w:bottom w:val="single" w:sz="4" w:space="0" w:color="000000"/>
              <w:right w:val="single" w:sz="4" w:space="0" w:color="000000"/>
            </w:tcBorders>
          </w:tcPr>
          <w:p w14:paraId="03EE0D24" w14:textId="77777777" w:rsidR="003D3187" w:rsidRDefault="00000000">
            <w:pPr>
              <w:spacing w:after="0" w:line="259" w:lineRule="auto"/>
              <w:ind w:left="0" w:right="56" w:firstLine="0"/>
              <w:jc w:val="right"/>
            </w:pPr>
            <w:r>
              <w:rPr>
                <w:sz w:val="22"/>
              </w:rPr>
              <w:t xml:space="preserve">(0.257) </w:t>
            </w:r>
          </w:p>
        </w:tc>
        <w:tc>
          <w:tcPr>
            <w:tcW w:w="1012" w:type="dxa"/>
            <w:tcBorders>
              <w:top w:val="single" w:sz="4" w:space="0" w:color="000000"/>
              <w:left w:val="single" w:sz="4" w:space="0" w:color="000000"/>
              <w:bottom w:val="single" w:sz="4" w:space="0" w:color="000000"/>
              <w:right w:val="single" w:sz="4" w:space="0" w:color="000000"/>
            </w:tcBorders>
          </w:tcPr>
          <w:p w14:paraId="5E7ADF0A" w14:textId="77777777" w:rsidR="003D3187" w:rsidRDefault="00000000">
            <w:pPr>
              <w:spacing w:after="0" w:line="259" w:lineRule="auto"/>
              <w:ind w:left="0" w:right="56" w:firstLine="0"/>
              <w:jc w:val="right"/>
            </w:pPr>
            <w:r>
              <w:rPr>
                <w:sz w:val="22"/>
              </w:rPr>
              <w:t xml:space="preserve">(0.247) </w:t>
            </w:r>
          </w:p>
        </w:tc>
        <w:tc>
          <w:tcPr>
            <w:tcW w:w="1012" w:type="dxa"/>
            <w:tcBorders>
              <w:top w:val="single" w:sz="4" w:space="0" w:color="000000"/>
              <w:left w:val="single" w:sz="4" w:space="0" w:color="000000"/>
              <w:bottom w:val="single" w:sz="4" w:space="0" w:color="000000"/>
              <w:right w:val="single" w:sz="4" w:space="0" w:color="000000"/>
            </w:tcBorders>
          </w:tcPr>
          <w:p w14:paraId="2ACB6EFB" w14:textId="77777777" w:rsidR="003D3187" w:rsidRDefault="00000000">
            <w:pPr>
              <w:spacing w:after="0" w:line="259" w:lineRule="auto"/>
              <w:ind w:left="0" w:right="56"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tcPr>
          <w:p w14:paraId="596D5FAF" w14:textId="77777777" w:rsidR="003D3187" w:rsidRDefault="00000000">
            <w:pPr>
              <w:spacing w:after="0" w:line="259" w:lineRule="auto"/>
              <w:ind w:left="0" w:right="56"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tcPr>
          <w:p w14:paraId="53FCA7DF" w14:textId="77777777" w:rsidR="003D3187" w:rsidRDefault="00000000">
            <w:pPr>
              <w:spacing w:after="0" w:line="259" w:lineRule="auto"/>
              <w:ind w:left="0" w:right="56" w:firstLine="0"/>
              <w:jc w:val="right"/>
            </w:pPr>
            <w:r>
              <w:rPr>
                <w:sz w:val="22"/>
              </w:rPr>
              <w:t xml:space="preserve">(0.504) </w:t>
            </w:r>
          </w:p>
        </w:tc>
      </w:tr>
      <w:tr w:rsidR="003D3187" w14:paraId="4FC45CE6" w14:textId="77777777">
        <w:trPr>
          <w:trHeight w:val="516"/>
        </w:trPr>
        <w:tc>
          <w:tcPr>
            <w:tcW w:w="1375" w:type="dxa"/>
            <w:tcBorders>
              <w:top w:val="single" w:sz="4" w:space="0" w:color="000000"/>
              <w:left w:val="single" w:sz="4" w:space="0" w:color="000000"/>
              <w:bottom w:val="single" w:sz="4" w:space="0" w:color="000000"/>
              <w:right w:val="single" w:sz="4" w:space="0" w:color="000000"/>
            </w:tcBorders>
          </w:tcPr>
          <w:p w14:paraId="6B5F489F" w14:textId="77777777" w:rsidR="003D3187" w:rsidRDefault="00000000">
            <w:pPr>
              <w:spacing w:after="0" w:line="259" w:lineRule="auto"/>
              <w:ind w:left="0" w:firstLine="0"/>
            </w:pPr>
            <w:r>
              <w:rPr>
                <w:sz w:val="22"/>
              </w:rPr>
              <w:t xml:space="preserve">ASC&amp;H </w:t>
            </w:r>
          </w:p>
        </w:tc>
        <w:tc>
          <w:tcPr>
            <w:tcW w:w="3124" w:type="dxa"/>
            <w:tcBorders>
              <w:top w:val="single" w:sz="4" w:space="0" w:color="000000"/>
              <w:left w:val="single" w:sz="4" w:space="0" w:color="000000"/>
              <w:bottom w:val="single" w:sz="4" w:space="0" w:color="000000"/>
              <w:right w:val="single" w:sz="4" w:space="0" w:color="000000"/>
            </w:tcBorders>
          </w:tcPr>
          <w:p w14:paraId="4171FAEA" w14:textId="77777777" w:rsidR="003D3187" w:rsidRDefault="00000000">
            <w:pPr>
              <w:spacing w:after="0" w:line="259" w:lineRule="auto"/>
              <w:ind w:left="3" w:firstLine="0"/>
            </w:pPr>
            <w:r>
              <w:rPr>
                <w:sz w:val="22"/>
              </w:rPr>
              <w:t xml:space="preserve">Respite Review </w:t>
            </w:r>
          </w:p>
        </w:tc>
        <w:tc>
          <w:tcPr>
            <w:tcW w:w="4921" w:type="dxa"/>
            <w:tcBorders>
              <w:top w:val="single" w:sz="4" w:space="0" w:color="000000"/>
              <w:left w:val="single" w:sz="4" w:space="0" w:color="000000"/>
              <w:bottom w:val="single" w:sz="4" w:space="0" w:color="000000"/>
              <w:right w:val="single" w:sz="4" w:space="0" w:color="000000"/>
            </w:tcBorders>
          </w:tcPr>
          <w:p w14:paraId="4CB3C64A" w14:textId="77777777" w:rsidR="003D3187" w:rsidRDefault="00000000">
            <w:pPr>
              <w:spacing w:after="0" w:line="259" w:lineRule="auto"/>
              <w:ind w:left="3" w:firstLine="0"/>
            </w:pPr>
            <w:r>
              <w:rPr>
                <w:sz w:val="22"/>
              </w:rPr>
              <w:t xml:space="preserve">Introduction of allocation policy for fairer distribution of service. </w:t>
            </w:r>
          </w:p>
        </w:tc>
        <w:tc>
          <w:tcPr>
            <w:tcW w:w="1036" w:type="dxa"/>
            <w:tcBorders>
              <w:top w:val="single" w:sz="4" w:space="0" w:color="000000"/>
              <w:left w:val="single" w:sz="4" w:space="0" w:color="000000"/>
              <w:bottom w:val="single" w:sz="4" w:space="0" w:color="000000"/>
              <w:right w:val="single" w:sz="4" w:space="0" w:color="000000"/>
            </w:tcBorders>
            <w:vAlign w:val="bottom"/>
          </w:tcPr>
          <w:p w14:paraId="27CAD236" w14:textId="77777777" w:rsidR="003D3187" w:rsidRDefault="00000000">
            <w:pPr>
              <w:spacing w:after="0" w:line="259" w:lineRule="auto"/>
              <w:ind w:left="0" w:right="56" w:firstLine="0"/>
              <w:jc w:val="right"/>
            </w:pPr>
            <w:r>
              <w:rPr>
                <w:sz w:val="22"/>
              </w:rPr>
              <w:t xml:space="preserve">(0.078) </w:t>
            </w:r>
          </w:p>
        </w:tc>
        <w:tc>
          <w:tcPr>
            <w:tcW w:w="1012" w:type="dxa"/>
            <w:tcBorders>
              <w:top w:val="single" w:sz="4" w:space="0" w:color="000000"/>
              <w:left w:val="single" w:sz="4" w:space="0" w:color="000000"/>
              <w:bottom w:val="single" w:sz="4" w:space="0" w:color="000000"/>
              <w:right w:val="single" w:sz="4" w:space="0" w:color="000000"/>
            </w:tcBorders>
            <w:vAlign w:val="bottom"/>
          </w:tcPr>
          <w:p w14:paraId="2AEF267A" w14:textId="77777777" w:rsidR="003D3187" w:rsidRDefault="00000000">
            <w:pPr>
              <w:spacing w:after="0" w:line="259" w:lineRule="auto"/>
              <w:ind w:left="0" w:right="56"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33A3ED63" w14:textId="77777777" w:rsidR="003D3187" w:rsidRDefault="00000000">
            <w:pPr>
              <w:spacing w:after="0" w:line="259" w:lineRule="auto"/>
              <w:ind w:left="0" w:right="56"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32D6CB5A" w14:textId="77777777" w:rsidR="003D3187" w:rsidRDefault="00000000">
            <w:pPr>
              <w:spacing w:after="0" w:line="259" w:lineRule="auto"/>
              <w:ind w:left="0" w:right="56"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7544141C" w14:textId="77777777" w:rsidR="003D3187" w:rsidRDefault="00000000">
            <w:pPr>
              <w:spacing w:after="0" w:line="259" w:lineRule="auto"/>
              <w:ind w:left="0" w:right="56" w:firstLine="0"/>
              <w:jc w:val="right"/>
            </w:pPr>
            <w:r>
              <w:rPr>
                <w:sz w:val="22"/>
              </w:rPr>
              <w:t xml:space="preserve">(0.078) </w:t>
            </w:r>
          </w:p>
        </w:tc>
      </w:tr>
      <w:tr w:rsidR="003D3187" w14:paraId="13DF65F9" w14:textId="77777777">
        <w:trPr>
          <w:trHeight w:val="1022"/>
        </w:trPr>
        <w:tc>
          <w:tcPr>
            <w:tcW w:w="1375" w:type="dxa"/>
            <w:tcBorders>
              <w:top w:val="single" w:sz="4" w:space="0" w:color="000000"/>
              <w:left w:val="single" w:sz="4" w:space="0" w:color="000000"/>
              <w:bottom w:val="single" w:sz="4" w:space="0" w:color="000000"/>
              <w:right w:val="single" w:sz="4" w:space="0" w:color="000000"/>
            </w:tcBorders>
          </w:tcPr>
          <w:p w14:paraId="3B2CBE98" w14:textId="77777777" w:rsidR="003D3187" w:rsidRDefault="00000000">
            <w:pPr>
              <w:spacing w:after="0" w:line="259" w:lineRule="auto"/>
              <w:ind w:left="0" w:firstLine="0"/>
            </w:pPr>
            <w:r>
              <w:rPr>
                <w:sz w:val="22"/>
              </w:rPr>
              <w:t xml:space="preserve">C&amp;ES </w:t>
            </w:r>
          </w:p>
        </w:tc>
        <w:tc>
          <w:tcPr>
            <w:tcW w:w="3124" w:type="dxa"/>
            <w:tcBorders>
              <w:top w:val="single" w:sz="4" w:space="0" w:color="000000"/>
              <w:left w:val="single" w:sz="4" w:space="0" w:color="000000"/>
              <w:bottom w:val="single" w:sz="4" w:space="0" w:color="000000"/>
              <w:right w:val="single" w:sz="4" w:space="0" w:color="000000"/>
            </w:tcBorders>
          </w:tcPr>
          <w:p w14:paraId="3E989B4B" w14:textId="77777777" w:rsidR="003D3187" w:rsidRDefault="00000000">
            <w:pPr>
              <w:spacing w:after="0" w:line="259" w:lineRule="auto"/>
              <w:ind w:left="3" w:firstLine="0"/>
            </w:pPr>
            <w:r>
              <w:rPr>
                <w:sz w:val="22"/>
              </w:rPr>
              <w:t xml:space="preserve">New Demand Management </w:t>
            </w:r>
          </w:p>
          <w:p w14:paraId="7F8A706C" w14:textId="77777777" w:rsidR="003D3187" w:rsidRDefault="00000000">
            <w:pPr>
              <w:spacing w:after="0" w:line="259" w:lineRule="auto"/>
              <w:ind w:left="3" w:firstLine="0"/>
            </w:pPr>
            <w:r>
              <w:rPr>
                <w:sz w:val="22"/>
              </w:rPr>
              <w:t xml:space="preserve">Savings  </w:t>
            </w:r>
          </w:p>
        </w:tc>
        <w:tc>
          <w:tcPr>
            <w:tcW w:w="4921" w:type="dxa"/>
            <w:tcBorders>
              <w:top w:val="single" w:sz="4" w:space="0" w:color="000000"/>
              <w:left w:val="single" w:sz="4" w:space="0" w:color="000000"/>
              <w:bottom w:val="single" w:sz="4" w:space="0" w:color="000000"/>
              <w:right w:val="single" w:sz="4" w:space="0" w:color="000000"/>
            </w:tcBorders>
          </w:tcPr>
          <w:p w14:paraId="7D07D9D0" w14:textId="77777777" w:rsidR="003D3187" w:rsidRDefault="00000000">
            <w:pPr>
              <w:spacing w:after="0" w:line="259" w:lineRule="auto"/>
              <w:ind w:left="3" w:firstLine="0"/>
            </w:pPr>
            <w:r>
              <w:rPr>
                <w:sz w:val="22"/>
              </w:rPr>
              <w:t xml:space="preserve">Additional demand led savings from Children's residential placement costs - combination of moving from high cost to lower cost foster care or independent homes </w:t>
            </w:r>
          </w:p>
        </w:tc>
        <w:tc>
          <w:tcPr>
            <w:tcW w:w="1036" w:type="dxa"/>
            <w:tcBorders>
              <w:top w:val="single" w:sz="4" w:space="0" w:color="000000"/>
              <w:left w:val="single" w:sz="4" w:space="0" w:color="000000"/>
              <w:bottom w:val="single" w:sz="4" w:space="0" w:color="000000"/>
              <w:right w:val="single" w:sz="4" w:space="0" w:color="000000"/>
            </w:tcBorders>
            <w:vAlign w:val="bottom"/>
          </w:tcPr>
          <w:p w14:paraId="313C070F" w14:textId="77777777" w:rsidR="003D3187" w:rsidRDefault="00000000">
            <w:pPr>
              <w:spacing w:after="0" w:line="259" w:lineRule="auto"/>
              <w:ind w:left="0" w:right="56" w:firstLine="0"/>
              <w:jc w:val="right"/>
            </w:pPr>
            <w:r>
              <w:rPr>
                <w:sz w:val="22"/>
              </w:rPr>
              <w:t xml:space="preserve">(2.461) </w:t>
            </w:r>
          </w:p>
        </w:tc>
        <w:tc>
          <w:tcPr>
            <w:tcW w:w="1012" w:type="dxa"/>
            <w:tcBorders>
              <w:top w:val="single" w:sz="4" w:space="0" w:color="000000"/>
              <w:left w:val="single" w:sz="4" w:space="0" w:color="000000"/>
              <w:bottom w:val="single" w:sz="4" w:space="0" w:color="000000"/>
              <w:right w:val="single" w:sz="4" w:space="0" w:color="000000"/>
            </w:tcBorders>
            <w:vAlign w:val="bottom"/>
          </w:tcPr>
          <w:p w14:paraId="66E7A616" w14:textId="77777777" w:rsidR="003D3187" w:rsidRDefault="00000000">
            <w:pPr>
              <w:spacing w:after="0" w:line="259" w:lineRule="auto"/>
              <w:ind w:left="0" w:right="56" w:firstLine="0"/>
              <w:jc w:val="right"/>
            </w:pPr>
            <w:r>
              <w:rPr>
                <w:sz w:val="22"/>
              </w:rPr>
              <w:t xml:space="preserve">(0.728) </w:t>
            </w:r>
          </w:p>
        </w:tc>
        <w:tc>
          <w:tcPr>
            <w:tcW w:w="1012" w:type="dxa"/>
            <w:tcBorders>
              <w:top w:val="single" w:sz="4" w:space="0" w:color="000000"/>
              <w:left w:val="single" w:sz="4" w:space="0" w:color="000000"/>
              <w:bottom w:val="single" w:sz="4" w:space="0" w:color="000000"/>
              <w:right w:val="single" w:sz="4" w:space="0" w:color="000000"/>
            </w:tcBorders>
            <w:vAlign w:val="bottom"/>
          </w:tcPr>
          <w:p w14:paraId="5FDB7973" w14:textId="77777777" w:rsidR="003D3187" w:rsidRDefault="00000000">
            <w:pPr>
              <w:spacing w:after="0" w:line="259" w:lineRule="auto"/>
              <w:ind w:left="0" w:right="56" w:firstLine="0"/>
              <w:jc w:val="right"/>
            </w:pPr>
            <w:r>
              <w:rPr>
                <w:sz w:val="22"/>
              </w:rPr>
              <w:t xml:space="preserve">(0.250) </w:t>
            </w:r>
          </w:p>
        </w:tc>
        <w:tc>
          <w:tcPr>
            <w:tcW w:w="1117" w:type="dxa"/>
            <w:tcBorders>
              <w:top w:val="single" w:sz="4" w:space="0" w:color="000000"/>
              <w:left w:val="single" w:sz="4" w:space="0" w:color="000000"/>
              <w:bottom w:val="single" w:sz="4" w:space="0" w:color="000000"/>
              <w:right w:val="single" w:sz="4" w:space="0" w:color="000000"/>
            </w:tcBorders>
            <w:vAlign w:val="bottom"/>
          </w:tcPr>
          <w:p w14:paraId="01CF1A5B" w14:textId="77777777" w:rsidR="003D3187" w:rsidRDefault="00000000">
            <w:pPr>
              <w:spacing w:after="0" w:line="259" w:lineRule="auto"/>
              <w:ind w:left="0" w:right="56"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0132C5EA" w14:textId="77777777" w:rsidR="003D3187" w:rsidRDefault="00000000">
            <w:pPr>
              <w:spacing w:after="0" w:line="259" w:lineRule="auto"/>
              <w:ind w:left="0" w:right="56" w:firstLine="0"/>
              <w:jc w:val="right"/>
            </w:pPr>
            <w:r>
              <w:rPr>
                <w:sz w:val="22"/>
              </w:rPr>
              <w:t xml:space="preserve">(3.439) </w:t>
            </w:r>
          </w:p>
        </w:tc>
      </w:tr>
      <w:tr w:rsidR="003D3187" w14:paraId="32962B89" w14:textId="77777777">
        <w:trPr>
          <w:trHeight w:val="554"/>
        </w:trPr>
        <w:tc>
          <w:tcPr>
            <w:tcW w:w="1375" w:type="dxa"/>
            <w:tcBorders>
              <w:top w:val="single" w:sz="4" w:space="0" w:color="000000"/>
              <w:left w:val="single" w:sz="4" w:space="0" w:color="000000"/>
              <w:bottom w:val="single" w:sz="4" w:space="0" w:color="000000"/>
              <w:right w:val="single" w:sz="4" w:space="0" w:color="000000"/>
            </w:tcBorders>
          </w:tcPr>
          <w:p w14:paraId="7C57C243" w14:textId="77777777" w:rsidR="003D3187" w:rsidRDefault="00000000">
            <w:pPr>
              <w:spacing w:after="0" w:line="259" w:lineRule="auto"/>
              <w:ind w:left="0" w:firstLine="0"/>
            </w:pPr>
            <w:r>
              <w:rPr>
                <w:sz w:val="22"/>
              </w:rPr>
              <w:t xml:space="preserve">CE&amp;RS </w:t>
            </w:r>
          </w:p>
        </w:tc>
        <w:tc>
          <w:tcPr>
            <w:tcW w:w="3124" w:type="dxa"/>
            <w:tcBorders>
              <w:top w:val="single" w:sz="4" w:space="0" w:color="000000"/>
              <w:left w:val="single" w:sz="4" w:space="0" w:color="000000"/>
              <w:bottom w:val="single" w:sz="4" w:space="0" w:color="000000"/>
              <w:right w:val="single" w:sz="4" w:space="0" w:color="000000"/>
            </w:tcBorders>
          </w:tcPr>
          <w:p w14:paraId="4DC475FD" w14:textId="77777777" w:rsidR="003D3187" w:rsidRDefault="00000000">
            <w:pPr>
              <w:spacing w:after="0" w:line="259" w:lineRule="auto"/>
              <w:ind w:left="3" w:firstLine="0"/>
            </w:pPr>
            <w:r>
              <w:rPr>
                <w:sz w:val="22"/>
              </w:rPr>
              <w:t xml:space="preserve">Leisure Transformation  </w:t>
            </w:r>
          </w:p>
        </w:tc>
        <w:tc>
          <w:tcPr>
            <w:tcW w:w="4921" w:type="dxa"/>
            <w:tcBorders>
              <w:top w:val="single" w:sz="4" w:space="0" w:color="000000"/>
              <w:left w:val="single" w:sz="4" w:space="0" w:color="000000"/>
              <w:bottom w:val="single" w:sz="4" w:space="0" w:color="000000"/>
              <w:right w:val="single" w:sz="4" w:space="0" w:color="000000"/>
            </w:tcBorders>
          </w:tcPr>
          <w:p w14:paraId="04EF3B50" w14:textId="77777777" w:rsidR="003D3187" w:rsidRDefault="00000000">
            <w:pPr>
              <w:spacing w:after="0" w:line="259" w:lineRule="auto"/>
              <w:ind w:left="3" w:firstLine="0"/>
            </w:pPr>
            <w:r>
              <w:rPr>
                <w:sz w:val="22"/>
              </w:rPr>
              <w:t xml:space="preserve">Investing in the service to increase income and service efficiencies. </w:t>
            </w:r>
          </w:p>
        </w:tc>
        <w:tc>
          <w:tcPr>
            <w:tcW w:w="1036" w:type="dxa"/>
            <w:tcBorders>
              <w:top w:val="single" w:sz="4" w:space="0" w:color="000000"/>
              <w:left w:val="single" w:sz="4" w:space="0" w:color="000000"/>
              <w:bottom w:val="single" w:sz="4" w:space="0" w:color="000000"/>
              <w:right w:val="single" w:sz="4" w:space="0" w:color="000000"/>
            </w:tcBorders>
            <w:vAlign w:val="bottom"/>
          </w:tcPr>
          <w:p w14:paraId="68C31BB7" w14:textId="77777777" w:rsidR="003D3187" w:rsidRDefault="00000000">
            <w:pPr>
              <w:spacing w:after="0" w:line="259" w:lineRule="auto"/>
              <w:ind w:left="0" w:right="56" w:firstLine="0"/>
              <w:jc w:val="right"/>
            </w:pPr>
            <w:r>
              <w:rPr>
                <w:sz w:val="22"/>
              </w:rPr>
              <w:t xml:space="preserve">(0.238) </w:t>
            </w:r>
          </w:p>
        </w:tc>
        <w:tc>
          <w:tcPr>
            <w:tcW w:w="1012" w:type="dxa"/>
            <w:tcBorders>
              <w:top w:val="single" w:sz="4" w:space="0" w:color="000000"/>
              <w:left w:val="single" w:sz="4" w:space="0" w:color="000000"/>
              <w:bottom w:val="single" w:sz="4" w:space="0" w:color="000000"/>
              <w:right w:val="single" w:sz="4" w:space="0" w:color="000000"/>
            </w:tcBorders>
            <w:vAlign w:val="bottom"/>
          </w:tcPr>
          <w:p w14:paraId="200B2967" w14:textId="77777777" w:rsidR="003D3187" w:rsidRDefault="00000000">
            <w:pPr>
              <w:spacing w:after="0" w:line="259" w:lineRule="auto"/>
              <w:ind w:left="0" w:right="56" w:firstLine="0"/>
              <w:jc w:val="right"/>
            </w:pPr>
            <w:r>
              <w:rPr>
                <w:sz w:val="22"/>
              </w:rPr>
              <w:t xml:space="preserve">(0.262) </w:t>
            </w:r>
          </w:p>
        </w:tc>
        <w:tc>
          <w:tcPr>
            <w:tcW w:w="1012" w:type="dxa"/>
            <w:tcBorders>
              <w:top w:val="single" w:sz="4" w:space="0" w:color="000000"/>
              <w:left w:val="single" w:sz="4" w:space="0" w:color="000000"/>
              <w:bottom w:val="single" w:sz="4" w:space="0" w:color="000000"/>
              <w:right w:val="single" w:sz="4" w:space="0" w:color="000000"/>
            </w:tcBorders>
            <w:vAlign w:val="bottom"/>
          </w:tcPr>
          <w:p w14:paraId="674019CD" w14:textId="77777777" w:rsidR="003D3187" w:rsidRDefault="00000000">
            <w:pPr>
              <w:spacing w:after="0" w:line="259" w:lineRule="auto"/>
              <w:ind w:left="0" w:right="56" w:firstLine="0"/>
              <w:jc w:val="right"/>
            </w:pPr>
            <w:r>
              <w:rPr>
                <w:sz w:val="22"/>
              </w:rPr>
              <w:t xml:space="preserve">(0.250) </w:t>
            </w:r>
          </w:p>
        </w:tc>
        <w:tc>
          <w:tcPr>
            <w:tcW w:w="1117" w:type="dxa"/>
            <w:tcBorders>
              <w:top w:val="single" w:sz="4" w:space="0" w:color="000000"/>
              <w:left w:val="single" w:sz="4" w:space="0" w:color="000000"/>
              <w:bottom w:val="single" w:sz="4" w:space="0" w:color="000000"/>
              <w:right w:val="single" w:sz="4" w:space="0" w:color="000000"/>
            </w:tcBorders>
            <w:vAlign w:val="bottom"/>
          </w:tcPr>
          <w:p w14:paraId="212AAEF5" w14:textId="77777777" w:rsidR="003D3187" w:rsidRDefault="00000000">
            <w:pPr>
              <w:spacing w:after="0" w:line="259" w:lineRule="auto"/>
              <w:ind w:left="0" w:right="56"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7D86AC8A" w14:textId="77777777" w:rsidR="003D3187" w:rsidRDefault="00000000">
            <w:pPr>
              <w:spacing w:after="0" w:line="259" w:lineRule="auto"/>
              <w:ind w:left="0" w:right="56" w:firstLine="0"/>
              <w:jc w:val="right"/>
            </w:pPr>
            <w:r>
              <w:rPr>
                <w:sz w:val="22"/>
              </w:rPr>
              <w:t xml:space="preserve">(0.750) </w:t>
            </w:r>
          </w:p>
        </w:tc>
      </w:tr>
      <w:tr w:rsidR="003D3187" w14:paraId="3A8661DD" w14:textId="77777777">
        <w:trPr>
          <w:trHeight w:val="769"/>
        </w:trPr>
        <w:tc>
          <w:tcPr>
            <w:tcW w:w="1375" w:type="dxa"/>
            <w:tcBorders>
              <w:top w:val="single" w:sz="4" w:space="0" w:color="000000"/>
              <w:left w:val="single" w:sz="4" w:space="0" w:color="000000"/>
              <w:bottom w:val="single" w:sz="4" w:space="0" w:color="000000"/>
              <w:right w:val="single" w:sz="4" w:space="0" w:color="000000"/>
            </w:tcBorders>
          </w:tcPr>
          <w:p w14:paraId="4610F4EB" w14:textId="77777777" w:rsidR="003D3187" w:rsidRDefault="00000000">
            <w:pPr>
              <w:spacing w:after="0" w:line="259" w:lineRule="auto"/>
              <w:ind w:left="0" w:firstLine="0"/>
            </w:pPr>
            <w:r>
              <w:rPr>
                <w:sz w:val="22"/>
              </w:rPr>
              <w:t xml:space="preserve">CE&amp;RS </w:t>
            </w:r>
          </w:p>
        </w:tc>
        <w:tc>
          <w:tcPr>
            <w:tcW w:w="3124" w:type="dxa"/>
            <w:tcBorders>
              <w:top w:val="single" w:sz="4" w:space="0" w:color="000000"/>
              <w:left w:val="single" w:sz="4" w:space="0" w:color="000000"/>
              <w:bottom w:val="single" w:sz="4" w:space="0" w:color="000000"/>
              <w:right w:val="single" w:sz="4" w:space="0" w:color="000000"/>
            </w:tcBorders>
          </w:tcPr>
          <w:p w14:paraId="1390C686" w14:textId="77777777" w:rsidR="003D3187" w:rsidRDefault="00000000">
            <w:pPr>
              <w:spacing w:after="0" w:line="259" w:lineRule="auto"/>
              <w:ind w:left="3" w:firstLine="0"/>
            </w:pPr>
            <w:r>
              <w:rPr>
                <w:sz w:val="22"/>
              </w:rPr>
              <w:t xml:space="preserve">Implement Theatre Royal and </w:t>
            </w:r>
          </w:p>
          <w:p w14:paraId="341CAC6A" w14:textId="77777777" w:rsidR="003D3187" w:rsidRDefault="00000000">
            <w:pPr>
              <w:spacing w:after="0" w:line="259" w:lineRule="auto"/>
              <w:ind w:left="3" w:firstLine="0"/>
            </w:pPr>
            <w:r>
              <w:rPr>
                <w:sz w:val="22"/>
              </w:rPr>
              <w:t xml:space="preserve">Concert Hall Commissioned </w:t>
            </w:r>
          </w:p>
          <w:p w14:paraId="4B0F3F04" w14:textId="77777777" w:rsidR="003D3187" w:rsidRDefault="00000000">
            <w:pPr>
              <w:spacing w:after="0" w:line="259" w:lineRule="auto"/>
              <w:ind w:left="3" w:firstLine="0"/>
            </w:pPr>
            <w:r>
              <w:rPr>
                <w:sz w:val="22"/>
              </w:rPr>
              <w:t xml:space="preserve">Review </w:t>
            </w:r>
          </w:p>
        </w:tc>
        <w:tc>
          <w:tcPr>
            <w:tcW w:w="4921" w:type="dxa"/>
            <w:tcBorders>
              <w:top w:val="single" w:sz="4" w:space="0" w:color="000000"/>
              <w:left w:val="single" w:sz="4" w:space="0" w:color="000000"/>
              <w:bottom w:val="single" w:sz="4" w:space="0" w:color="000000"/>
              <w:right w:val="single" w:sz="4" w:space="0" w:color="000000"/>
            </w:tcBorders>
          </w:tcPr>
          <w:p w14:paraId="22F1547F" w14:textId="77777777" w:rsidR="003D3187" w:rsidRDefault="00000000">
            <w:pPr>
              <w:spacing w:after="0" w:line="259" w:lineRule="auto"/>
              <w:ind w:left="3" w:firstLine="0"/>
            </w:pPr>
            <w:r>
              <w:rPr>
                <w:sz w:val="22"/>
              </w:rPr>
              <w:t xml:space="preserve">Improve customer experience and events calendar to maximise ticket sale and enhance revenues. </w:t>
            </w:r>
          </w:p>
        </w:tc>
        <w:tc>
          <w:tcPr>
            <w:tcW w:w="1036" w:type="dxa"/>
            <w:tcBorders>
              <w:top w:val="single" w:sz="4" w:space="0" w:color="000000"/>
              <w:left w:val="single" w:sz="4" w:space="0" w:color="000000"/>
              <w:bottom w:val="single" w:sz="4" w:space="0" w:color="000000"/>
              <w:right w:val="single" w:sz="4" w:space="0" w:color="000000"/>
            </w:tcBorders>
            <w:vAlign w:val="bottom"/>
          </w:tcPr>
          <w:p w14:paraId="1F435006" w14:textId="77777777" w:rsidR="003D3187" w:rsidRDefault="00000000">
            <w:pPr>
              <w:spacing w:after="0" w:line="259" w:lineRule="auto"/>
              <w:ind w:left="0" w:right="56" w:firstLine="0"/>
              <w:jc w:val="right"/>
            </w:pPr>
            <w:r>
              <w:rPr>
                <w:sz w:val="22"/>
              </w:rPr>
              <w:t xml:space="preserve">(0.500)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7461BF62" w14:textId="77777777" w:rsidR="003D3187" w:rsidRDefault="00000000">
            <w:pPr>
              <w:spacing w:after="0" w:line="259" w:lineRule="auto"/>
              <w:ind w:left="0" w:right="56"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64F7FE32" w14:textId="77777777" w:rsidR="003D3187" w:rsidRDefault="00000000">
            <w:pPr>
              <w:spacing w:after="0" w:line="259" w:lineRule="auto"/>
              <w:ind w:left="0" w:right="56"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18DFBE13" w14:textId="77777777" w:rsidR="003D3187" w:rsidRDefault="00000000">
            <w:pPr>
              <w:spacing w:after="0" w:line="259" w:lineRule="auto"/>
              <w:ind w:left="0" w:right="56"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5A8BA6AF" w14:textId="77777777" w:rsidR="003D3187" w:rsidRDefault="00000000">
            <w:pPr>
              <w:spacing w:after="0" w:line="259" w:lineRule="auto"/>
              <w:ind w:left="0" w:right="56" w:firstLine="0"/>
              <w:jc w:val="right"/>
            </w:pPr>
            <w:r>
              <w:rPr>
                <w:sz w:val="22"/>
              </w:rPr>
              <w:t xml:space="preserve">(0.500) </w:t>
            </w:r>
          </w:p>
        </w:tc>
      </w:tr>
      <w:tr w:rsidR="003D3187" w14:paraId="3BC7A049" w14:textId="77777777">
        <w:trPr>
          <w:trHeight w:val="586"/>
        </w:trPr>
        <w:tc>
          <w:tcPr>
            <w:tcW w:w="1375" w:type="dxa"/>
            <w:tcBorders>
              <w:top w:val="single" w:sz="4" w:space="0" w:color="000000"/>
              <w:left w:val="single" w:sz="4" w:space="0" w:color="000000"/>
              <w:bottom w:val="single" w:sz="4" w:space="0" w:color="000000"/>
              <w:right w:val="single" w:sz="4" w:space="0" w:color="000000"/>
            </w:tcBorders>
          </w:tcPr>
          <w:p w14:paraId="50653067" w14:textId="77777777" w:rsidR="003D3187" w:rsidRDefault="00000000">
            <w:pPr>
              <w:spacing w:after="0" w:line="259" w:lineRule="auto"/>
              <w:ind w:left="0" w:firstLine="0"/>
            </w:pPr>
            <w:r>
              <w:rPr>
                <w:sz w:val="22"/>
              </w:rPr>
              <w:t xml:space="preserve">CE&amp;RS </w:t>
            </w:r>
          </w:p>
        </w:tc>
        <w:tc>
          <w:tcPr>
            <w:tcW w:w="3124" w:type="dxa"/>
            <w:tcBorders>
              <w:top w:val="single" w:sz="4" w:space="0" w:color="000000"/>
              <w:left w:val="single" w:sz="4" w:space="0" w:color="000000"/>
              <w:bottom w:val="single" w:sz="4" w:space="0" w:color="000000"/>
              <w:right w:val="single" w:sz="4" w:space="0" w:color="000000"/>
            </w:tcBorders>
          </w:tcPr>
          <w:p w14:paraId="54FEC672" w14:textId="77777777" w:rsidR="003D3187" w:rsidRDefault="00000000">
            <w:pPr>
              <w:spacing w:after="0" w:line="259" w:lineRule="auto"/>
              <w:ind w:left="3" w:firstLine="0"/>
            </w:pPr>
            <w:r>
              <w:rPr>
                <w:sz w:val="22"/>
              </w:rPr>
              <w:t xml:space="preserve">Events Team Transition </w:t>
            </w:r>
          </w:p>
        </w:tc>
        <w:tc>
          <w:tcPr>
            <w:tcW w:w="4921" w:type="dxa"/>
            <w:tcBorders>
              <w:top w:val="single" w:sz="4" w:space="0" w:color="000000"/>
              <w:left w:val="single" w:sz="4" w:space="0" w:color="000000"/>
              <w:bottom w:val="single" w:sz="4" w:space="0" w:color="000000"/>
              <w:right w:val="single" w:sz="4" w:space="0" w:color="000000"/>
            </w:tcBorders>
          </w:tcPr>
          <w:p w14:paraId="4D0FD3E3" w14:textId="77777777" w:rsidR="003D3187" w:rsidRDefault="00000000">
            <w:pPr>
              <w:spacing w:after="0" w:line="259" w:lineRule="auto"/>
              <w:ind w:left="3" w:firstLine="0"/>
            </w:pPr>
            <w:r>
              <w:rPr>
                <w:sz w:val="22"/>
              </w:rPr>
              <w:t xml:space="preserve">Shift the team to a commercial model, being cost-neutral or revenue-generating. </w:t>
            </w:r>
          </w:p>
        </w:tc>
        <w:tc>
          <w:tcPr>
            <w:tcW w:w="1036" w:type="dxa"/>
            <w:tcBorders>
              <w:top w:val="single" w:sz="4" w:space="0" w:color="000000"/>
              <w:left w:val="single" w:sz="4" w:space="0" w:color="000000"/>
              <w:bottom w:val="single" w:sz="4" w:space="0" w:color="000000"/>
              <w:right w:val="single" w:sz="4" w:space="0" w:color="000000"/>
            </w:tcBorders>
            <w:vAlign w:val="bottom"/>
          </w:tcPr>
          <w:p w14:paraId="73408873" w14:textId="77777777" w:rsidR="003D3187" w:rsidRDefault="00000000">
            <w:pPr>
              <w:spacing w:after="0" w:line="259" w:lineRule="auto"/>
              <w:ind w:left="0" w:right="56" w:firstLine="0"/>
              <w:jc w:val="right"/>
            </w:pPr>
            <w:r>
              <w:rPr>
                <w:sz w:val="22"/>
              </w:rPr>
              <w:t xml:space="preserve">(0.050) </w:t>
            </w:r>
          </w:p>
        </w:tc>
        <w:tc>
          <w:tcPr>
            <w:tcW w:w="1012" w:type="dxa"/>
            <w:tcBorders>
              <w:top w:val="single" w:sz="4" w:space="0" w:color="000000"/>
              <w:left w:val="single" w:sz="4" w:space="0" w:color="000000"/>
              <w:bottom w:val="single" w:sz="4" w:space="0" w:color="000000"/>
              <w:right w:val="single" w:sz="4" w:space="0" w:color="000000"/>
            </w:tcBorders>
            <w:vAlign w:val="bottom"/>
          </w:tcPr>
          <w:p w14:paraId="0DBF8D94" w14:textId="77777777" w:rsidR="003D3187" w:rsidRDefault="00000000">
            <w:pPr>
              <w:spacing w:after="0" w:line="259" w:lineRule="auto"/>
              <w:ind w:left="0" w:right="56" w:firstLine="0"/>
              <w:jc w:val="right"/>
            </w:pPr>
            <w:r>
              <w:rPr>
                <w:sz w:val="22"/>
              </w:rPr>
              <w:t xml:space="preserve">(0.050) </w:t>
            </w:r>
          </w:p>
        </w:tc>
        <w:tc>
          <w:tcPr>
            <w:tcW w:w="1012" w:type="dxa"/>
            <w:tcBorders>
              <w:top w:val="single" w:sz="4" w:space="0" w:color="000000"/>
              <w:left w:val="single" w:sz="4" w:space="0" w:color="000000"/>
              <w:bottom w:val="single" w:sz="4" w:space="0" w:color="000000"/>
              <w:right w:val="single" w:sz="4" w:space="0" w:color="000000"/>
            </w:tcBorders>
            <w:vAlign w:val="bottom"/>
          </w:tcPr>
          <w:p w14:paraId="08A72C87" w14:textId="77777777" w:rsidR="003D3187" w:rsidRDefault="00000000">
            <w:pPr>
              <w:spacing w:after="0" w:line="259" w:lineRule="auto"/>
              <w:ind w:left="0" w:right="56"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1063EEA5" w14:textId="77777777" w:rsidR="003D3187" w:rsidRDefault="00000000">
            <w:pPr>
              <w:spacing w:after="0" w:line="259" w:lineRule="auto"/>
              <w:ind w:left="0" w:right="56"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64C6DAE0" w14:textId="77777777" w:rsidR="003D3187" w:rsidRDefault="00000000">
            <w:pPr>
              <w:spacing w:after="0" w:line="259" w:lineRule="auto"/>
              <w:ind w:left="0" w:right="56" w:firstLine="0"/>
              <w:jc w:val="right"/>
            </w:pPr>
            <w:r>
              <w:rPr>
                <w:sz w:val="22"/>
              </w:rPr>
              <w:t xml:space="preserve">(0.100) </w:t>
            </w:r>
          </w:p>
        </w:tc>
      </w:tr>
    </w:tbl>
    <w:p w14:paraId="745CF359" w14:textId="77777777" w:rsidR="003D3187" w:rsidRDefault="003D3187">
      <w:pPr>
        <w:spacing w:after="0" w:line="259" w:lineRule="auto"/>
        <w:ind w:left="-1440" w:right="15398" w:firstLine="0"/>
      </w:pPr>
    </w:p>
    <w:tbl>
      <w:tblPr>
        <w:tblStyle w:val="TableGrid"/>
        <w:tblW w:w="14900" w:type="dxa"/>
        <w:tblInd w:w="-584" w:type="dxa"/>
        <w:tblCellMar>
          <w:top w:w="46" w:type="dxa"/>
          <w:left w:w="57" w:type="dxa"/>
          <w:bottom w:w="5" w:type="dxa"/>
          <w:right w:w="0" w:type="dxa"/>
        </w:tblCellMar>
        <w:tblLook w:val="04A0" w:firstRow="1" w:lastRow="0" w:firstColumn="1" w:lastColumn="0" w:noHBand="0" w:noVBand="1"/>
      </w:tblPr>
      <w:tblGrid>
        <w:gridCol w:w="1378"/>
        <w:gridCol w:w="3124"/>
        <w:gridCol w:w="4921"/>
        <w:gridCol w:w="1036"/>
        <w:gridCol w:w="1012"/>
        <w:gridCol w:w="1012"/>
        <w:gridCol w:w="1117"/>
        <w:gridCol w:w="1300"/>
      </w:tblGrid>
      <w:tr w:rsidR="003D3187" w14:paraId="51050062" w14:textId="77777777">
        <w:trPr>
          <w:trHeight w:val="764"/>
        </w:trPr>
        <w:tc>
          <w:tcPr>
            <w:tcW w:w="1378" w:type="dxa"/>
            <w:tcBorders>
              <w:top w:val="nil"/>
              <w:left w:val="single" w:sz="4" w:space="0" w:color="000000"/>
              <w:bottom w:val="single" w:sz="4" w:space="0" w:color="000000"/>
              <w:right w:val="single" w:sz="4" w:space="0" w:color="000000"/>
            </w:tcBorders>
          </w:tcPr>
          <w:p w14:paraId="2CF08D93" w14:textId="77777777" w:rsidR="003D3187" w:rsidRDefault="00000000">
            <w:pPr>
              <w:spacing w:after="0" w:line="259" w:lineRule="auto"/>
              <w:ind w:left="0" w:firstLine="0"/>
            </w:pPr>
            <w:r>
              <w:rPr>
                <w:sz w:val="22"/>
              </w:rPr>
              <w:t xml:space="preserve">CE&amp;RS </w:t>
            </w:r>
          </w:p>
        </w:tc>
        <w:tc>
          <w:tcPr>
            <w:tcW w:w="3124" w:type="dxa"/>
            <w:tcBorders>
              <w:top w:val="nil"/>
              <w:left w:val="single" w:sz="4" w:space="0" w:color="000000"/>
              <w:bottom w:val="single" w:sz="4" w:space="0" w:color="000000"/>
              <w:right w:val="single" w:sz="4" w:space="0" w:color="000000"/>
            </w:tcBorders>
          </w:tcPr>
          <w:p w14:paraId="23741E24" w14:textId="77777777" w:rsidR="003D3187" w:rsidRDefault="00000000">
            <w:pPr>
              <w:spacing w:after="0" w:line="259" w:lineRule="auto"/>
              <w:ind w:left="0" w:firstLine="0"/>
              <w:jc w:val="both"/>
            </w:pPr>
            <w:r>
              <w:rPr>
                <w:sz w:val="22"/>
              </w:rPr>
              <w:t xml:space="preserve">CCTV Income and Efficiencies </w:t>
            </w:r>
          </w:p>
        </w:tc>
        <w:tc>
          <w:tcPr>
            <w:tcW w:w="4921" w:type="dxa"/>
            <w:tcBorders>
              <w:top w:val="nil"/>
              <w:left w:val="single" w:sz="4" w:space="0" w:color="000000"/>
              <w:bottom w:val="single" w:sz="4" w:space="0" w:color="000000"/>
              <w:right w:val="single" w:sz="4" w:space="0" w:color="000000"/>
            </w:tcBorders>
          </w:tcPr>
          <w:p w14:paraId="38B50779" w14:textId="77777777" w:rsidR="003D3187" w:rsidRDefault="00000000">
            <w:pPr>
              <w:spacing w:after="0" w:line="259" w:lineRule="auto"/>
              <w:ind w:left="0" w:firstLine="0"/>
            </w:pPr>
            <w:r>
              <w:rPr>
                <w:sz w:val="22"/>
              </w:rPr>
              <w:t xml:space="preserve">Expanding the service offer and achieving operational efficiency and revenue growth in CCTV.  </w:t>
            </w:r>
          </w:p>
        </w:tc>
        <w:tc>
          <w:tcPr>
            <w:tcW w:w="1036" w:type="dxa"/>
            <w:tcBorders>
              <w:top w:val="nil"/>
              <w:left w:val="single" w:sz="4" w:space="0" w:color="000000"/>
              <w:bottom w:val="single" w:sz="4" w:space="0" w:color="000000"/>
              <w:right w:val="single" w:sz="4" w:space="0" w:color="000000"/>
            </w:tcBorders>
            <w:vAlign w:val="bottom"/>
          </w:tcPr>
          <w:p w14:paraId="13EC6FDF" w14:textId="77777777" w:rsidR="003D3187" w:rsidRDefault="00000000">
            <w:pPr>
              <w:spacing w:after="0" w:line="259" w:lineRule="auto"/>
              <w:ind w:left="0" w:right="57" w:firstLine="0"/>
              <w:jc w:val="right"/>
            </w:pPr>
            <w:r>
              <w:rPr>
                <w:sz w:val="22"/>
              </w:rPr>
              <w:t xml:space="preserve">(0.050) </w:t>
            </w:r>
          </w:p>
        </w:tc>
        <w:tc>
          <w:tcPr>
            <w:tcW w:w="1012" w:type="dxa"/>
            <w:tcBorders>
              <w:top w:val="nil"/>
              <w:left w:val="single" w:sz="4" w:space="0" w:color="000000"/>
              <w:bottom w:val="single" w:sz="4" w:space="0" w:color="000000"/>
              <w:right w:val="single" w:sz="4" w:space="0" w:color="000000"/>
            </w:tcBorders>
            <w:vAlign w:val="bottom"/>
          </w:tcPr>
          <w:p w14:paraId="708C795A" w14:textId="77777777" w:rsidR="003D3187" w:rsidRDefault="00000000">
            <w:pPr>
              <w:spacing w:after="0" w:line="259" w:lineRule="auto"/>
              <w:ind w:left="0" w:right="57" w:firstLine="0"/>
              <w:jc w:val="right"/>
            </w:pPr>
            <w:r>
              <w:rPr>
                <w:sz w:val="22"/>
              </w:rPr>
              <w:t xml:space="preserve">0.000 </w:t>
            </w:r>
          </w:p>
        </w:tc>
        <w:tc>
          <w:tcPr>
            <w:tcW w:w="1012" w:type="dxa"/>
            <w:tcBorders>
              <w:top w:val="nil"/>
              <w:left w:val="single" w:sz="4" w:space="0" w:color="000000"/>
              <w:bottom w:val="single" w:sz="4" w:space="0" w:color="000000"/>
              <w:right w:val="single" w:sz="4" w:space="0" w:color="000000"/>
            </w:tcBorders>
            <w:vAlign w:val="bottom"/>
          </w:tcPr>
          <w:p w14:paraId="58186C80" w14:textId="77777777" w:rsidR="003D3187" w:rsidRDefault="00000000">
            <w:pPr>
              <w:spacing w:after="0" w:line="259" w:lineRule="auto"/>
              <w:ind w:left="0" w:right="57" w:firstLine="0"/>
              <w:jc w:val="right"/>
            </w:pPr>
            <w:r>
              <w:rPr>
                <w:sz w:val="22"/>
              </w:rPr>
              <w:t xml:space="preserve">0.000 </w:t>
            </w:r>
          </w:p>
        </w:tc>
        <w:tc>
          <w:tcPr>
            <w:tcW w:w="1117" w:type="dxa"/>
            <w:tcBorders>
              <w:top w:val="nil"/>
              <w:left w:val="single" w:sz="4" w:space="0" w:color="000000"/>
              <w:bottom w:val="single" w:sz="4" w:space="0" w:color="000000"/>
              <w:right w:val="single" w:sz="4" w:space="0" w:color="000000"/>
            </w:tcBorders>
            <w:vAlign w:val="bottom"/>
          </w:tcPr>
          <w:p w14:paraId="3C075F9D" w14:textId="77777777" w:rsidR="003D3187" w:rsidRDefault="00000000">
            <w:pPr>
              <w:spacing w:after="0" w:line="259" w:lineRule="auto"/>
              <w:ind w:left="0" w:right="57" w:firstLine="0"/>
              <w:jc w:val="right"/>
            </w:pPr>
            <w:r>
              <w:rPr>
                <w:sz w:val="22"/>
              </w:rPr>
              <w:t xml:space="preserve">0.000 </w:t>
            </w:r>
          </w:p>
        </w:tc>
        <w:tc>
          <w:tcPr>
            <w:tcW w:w="1300" w:type="dxa"/>
            <w:tcBorders>
              <w:top w:val="nil"/>
              <w:left w:val="single" w:sz="4" w:space="0" w:color="000000"/>
              <w:bottom w:val="single" w:sz="4" w:space="0" w:color="000000"/>
              <w:right w:val="single" w:sz="4" w:space="0" w:color="000000"/>
            </w:tcBorders>
            <w:vAlign w:val="bottom"/>
          </w:tcPr>
          <w:p w14:paraId="01EBE035" w14:textId="77777777" w:rsidR="003D3187" w:rsidRDefault="00000000">
            <w:pPr>
              <w:spacing w:after="0" w:line="259" w:lineRule="auto"/>
              <w:ind w:left="0" w:right="57" w:firstLine="0"/>
              <w:jc w:val="right"/>
            </w:pPr>
            <w:r>
              <w:rPr>
                <w:sz w:val="22"/>
              </w:rPr>
              <w:t xml:space="preserve">(0.050) </w:t>
            </w:r>
          </w:p>
        </w:tc>
      </w:tr>
      <w:tr w:rsidR="003D3187" w14:paraId="7FA9B7CD" w14:textId="77777777">
        <w:trPr>
          <w:trHeight w:val="514"/>
        </w:trPr>
        <w:tc>
          <w:tcPr>
            <w:tcW w:w="1378" w:type="dxa"/>
            <w:tcBorders>
              <w:top w:val="single" w:sz="4" w:space="0" w:color="000000"/>
              <w:left w:val="single" w:sz="4" w:space="0" w:color="000000"/>
              <w:bottom w:val="single" w:sz="4" w:space="0" w:color="000000"/>
              <w:right w:val="single" w:sz="4" w:space="0" w:color="000000"/>
            </w:tcBorders>
          </w:tcPr>
          <w:p w14:paraId="47EC931C" w14:textId="77777777" w:rsidR="003D3187" w:rsidRDefault="00000000">
            <w:pPr>
              <w:spacing w:after="0" w:line="259" w:lineRule="auto"/>
              <w:ind w:left="0" w:firstLine="0"/>
            </w:pPr>
            <w:r>
              <w:rPr>
                <w:sz w:val="22"/>
              </w:rPr>
              <w:t xml:space="preserve">CE&amp;RS </w:t>
            </w:r>
          </w:p>
        </w:tc>
        <w:tc>
          <w:tcPr>
            <w:tcW w:w="3124" w:type="dxa"/>
            <w:tcBorders>
              <w:top w:val="single" w:sz="4" w:space="0" w:color="000000"/>
              <w:left w:val="single" w:sz="4" w:space="0" w:color="000000"/>
              <w:bottom w:val="single" w:sz="4" w:space="0" w:color="000000"/>
              <w:right w:val="single" w:sz="4" w:space="0" w:color="000000"/>
            </w:tcBorders>
          </w:tcPr>
          <w:p w14:paraId="59D46C0B" w14:textId="77777777" w:rsidR="003D3187" w:rsidRDefault="00000000">
            <w:pPr>
              <w:spacing w:after="0" w:line="259" w:lineRule="auto"/>
              <w:ind w:left="0" w:firstLine="0"/>
            </w:pPr>
            <w:r>
              <w:rPr>
                <w:sz w:val="22"/>
              </w:rPr>
              <w:t xml:space="preserve">District Heating Network  </w:t>
            </w:r>
          </w:p>
        </w:tc>
        <w:tc>
          <w:tcPr>
            <w:tcW w:w="4921" w:type="dxa"/>
            <w:tcBorders>
              <w:top w:val="single" w:sz="4" w:space="0" w:color="000000"/>
              <w:left w:val="single" w:sz="4" w:space="0" w:color="000000"/>
              <w:bottom w:val="single" w:sz="4" w:space="0" w:color="000000"/>
              <w:right w:val="single" w:sz="4" w:space="0" w:color="000000"/>
            </w:tcBorders>
          </w:tcPr>
          <w:p w14:paraId="4541B7CA" w14:textId="77777777" w:rsidR="003D3187" w:rsidRDefault="00000000">
            <w:pPr>
              <w:spacing w:after="0" w:line="259" w:lineRule="auto"/>
              <w:ind w:left="0" w:firstLine="0"/>
            </w:pPr>
            <w:r>
              <w:rPr>
                <w:sz w:val="22"/>
              </w:rPr>
              <w:t xml:space="preserve">Increased income target. </w:t>
            </w:r>
          </w:p>
        </w:tc>
        <w:tc>
          <w:tcPr>
            <w:tcW w:w="1036" w:type="dxa"/>
            <w:tcBorders>
              <w:top w:val="single" w:sz="4" w:space="0" w:color="000000"/>
              <w:left w:val="single" w:sz="4" w:space="0" w:color="000000"/>
              <w:bottom w:val="single" w:sz="4" w:space="0" w:color="000000"/>
              <w:right w:val="single" w:sz="4" w:space="0" w:color="000000"/>
            </w:tcBorders>
            <w:vAlign w:val="bottom"/>
          </w:tcPr>
          <w:p w14:paraId="05349967" w14:textId="77777777" w:rsidR="003D3187" w:rsidRDefault="00000000">
            <w:pPr>
              <w:spacing w:after="0" w:line="259" w:lineRule="auto"/>
              <w:ind w:left="0" w:right="57" w:firstLine="0"/>
              <w:jc w:val="right"/>
            </w:pPr>
            <w:r>
              <w:rPr>
                <w:sz w:val="22"/>
              </w:rPr>
              <w:t xml:space="preserve">(1.000)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4DEDAFCD" w14:textId="77777777" w:rsidR="003D3187" w:rsidRDefault="00000000">
            <w:pPr>
              <w:spacing w:after="0" w:line="259" w:lineRule="auto"/>
              <w:ind w:left="0" w:right="57"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327E2BD5" w14:textId="77777777" w:rsidR="003D3187" w:rsidRDefault="00000000">
            <w:pPr>
              <w:spacing w:after="0" w:line="259" w:lineRule="auto"/>
              <w:ind w:left="0" w:right="57"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2D64547C" w14:textId="77777777" w:rsidR="003D3187" w:rsidRDefault="00000000">
            <w:pPr>
              <w:spacing w:after="0" w:line="259" w:lineRule="auto"/>
              <w:ind w:left="0" w:right="57"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7D09E52C" w14:textId="77777777" w:rsidR="003D3187" w:rsidRDefault="00000000">
            <w:pPr>
              <w:spacing w:after="0" w:line="259" w:lineRule="auto"/>
              <w:ind w:left="0" w:right="57" w:firstLine="0"/>
              <w:jc w:val="right"/>
            </w:pPr>
            <w:r>
              <w:rPr>
                <w:sz w:val="22"/>
              </w:rPr>
              <w:t xml:space="preserve">(1.000) </w:t>
            </w:r>
          </w:p>
        </w:tc>
      </w:tr>
      <w:tr w:rsidR="003D3187" w14:paraId="77662CE8" w14:textId="77777777">
        <w:trPr>
          <w:trHeight w:val="1528"/>
        </w:trPr>
        <w:tc>
          <w:tcPr>
            <w:tcW w:w="1378" w:type="dxa"/>
            <w:tcBorders>
              <w:top w:val="single" w:sz="4" w:space="0" w:color="000000"/>
              <w:left w:val="single" w:sz="4" w:space="0" w:color="000000"/>
              <w:bottom w:val="single" w:sz="4" w:space="0" w:color="000000"/>
              <w:right w:val="single" w:sz="4" w:space="0" w:color="000000"/>
            </w:tcBorders>
          </w:tcPr>
          <w:p w14:paraId="2CFD2630" w14:textId="77777777" w:rsidR="003D3187" w:rsidRDefault="00000000">
            <w:pPr>
              <w:spacing w:after="0" w:line="259" w:lineRule="auto"/>
              <w:ind w:left="0" w:firstLine="0"/>
            </w:pPr>
            <w:r>
              <w:rPr>
                <w:sz w:val="22"/>
              </w:rPr>
              <w:t xml:space="preserve">CE&amp;RS </w:t>
            </w:r>
          </w:p>
        </w:tc>
        <w:tc>
          <w:tcPr>
            <w:tcW w:w="3124" w:type="dxa"/>
            <w:tcBorders>
              <w:top w:val="single" w:sz="4" w:space="0" w:color="000000"/>
              <w:left w:val="single" w:sz="4" w:space="0" w:color="000000"/>
              <w:bottom w:val="single" w:sz="4" w:space="0" w:color="000000"/>
              <w:right w:val="single" w:sz="4" w:space="0" w:color="000000"/>
            </w:tcBorders>
          </w:tcPr>
          <w:p w14:paraId="06AEDCE0" w14:textId="77777777" w:rsidR="003D3187" w:rsidRDefault="00000000">
            <w:pPr>
              <w:spacing w:after="0" w:line="259" w:lineRule="auto"/>
              <w:ind w:left="0" w:firstLine="0"/>
            </w:pPr>
            <w:r>
              <w:rPr>
                <w:sz w:val="22"/>
              </w:rPr>
              <w:t xml:space="preserve">Solar Portfolio </w:t>
            </w:r>
          </w:p>
        </w:tc>
        <w:tc>
          <w:tcPr>
            <w:tcW w:w="4921" w:type="dxa"/>
            <w:tcBorders>
              <w:top w:val="single" w:sz="4" w:space="0" w:color="000000"/>
              <w:left w:val="single" w:sz="4" w:space="0" w:color="000000"/>
              <w:bottom w:val="single" w:sz="4" w:space="0" w:color="000000"/>
              <w:right w:val="single" w:sz="4" w:space="0" w:color="000000"/>
            </w:tcBorders>
          </w:tcPr>
          <w:p w14:paraId="7D5C4441" w14:textId="77777777" w:rsidR="003D3187" w:rsidRDefault="00000000">
            <w:pPr>
              <w:spacing w:after="0" w:line="259" w:lineRule="auto"/>
              <w:ind w:left="0" w:right="34" w:firstLine="0"/>
            </w:pPr>
            <w:r>
              <w:rPr>
                <w:sz w:val="22"/>
              </w:rPr>
              <w:t xml:space="preserve">There are benefits through energy procurement price saving, an overall reduction in risk to energy price spikes, and demonstrating how we use Council funds and Government funding to advance carbon reduction and grow embedded renewable electricity generation within the City. </w:t>
            </w:r>
          </w:p>
        </w:tc>
        <w:tc>
          <w:tcPr>
            <w:tcW w:w="1036" w:type="dxa"/>
            <w:tcBorders>
              <w:top w:val="single" w:sz="4" w:space="0" w:color="000000"/>
              <w:left w:val="single" w:sz="4" w:space="0" w:color="000000"/>
              <w:bottom w:val="single" w:sz="4" w:space="0" w:color="000000"/>
              <w:right w:val="single" w:sz="4" w:space="0" w:color="000000"/>
            </w:tcBorders>
            <w:vAlign w:val="bottom"/>
          </w:tcPr>
          <w:p w14:paraId="57B36B5F" w14:textId="77777777" w:rsidR="003D3187" w:rsidRDefault="00000000">
            <w:pPr>
              <w:spacing w:after="0" w:line="259" w:lineRule="auto"/>
              <w:ind w:left="0" w:right="57" w:firstLine="0"/>
              <w:jc w:val="right"/>
            </w:pPr>
            <w:r>
              <w:rPr>
                <w:sz w:val="22"/>
              </w:rPr>
              <w:t xml:space="preserve">(0.050) </w:t>
            </w:r>
          </w:p>
        </w:tc>
        <w:tc>
          <w:tcPr>
            <w:tcW w:w="1012" w:type="dxa"/>
            <w:tcBorders>
              <w:top w:val="single" w:sz="4" w:space="0" w:color="000000"/>
              <w:left w:val="single" w:sz="4" w:space="0" w:color="000000"/>
              <w:bottom w:val="single" w:sz="4" w:space="0" w:color="000000"/>
              <w:right w:val="single" w:sz="4" w:space="0" w:color="000000"/>
            </w:tcBorders>
            <w:vAlign w:val="bottom"/>
          </w:tcPr>
          <w:p w14:paraId="192AFBCC" w14:textId="77777777" w:rsidR="003D3187" w:rsidRDefault="00000000">
            <w:pPr>
              <w:spacing w:after="0" w:line="259" w:lineRule="auto"/>
              <w:ind w:left="0" w:right="57"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210A843F" w14:textId="77777777" w:rsidR="003D3187" w:rsidRDefault="00000000">
            <w:pPr>
              <w:spacing w:after="0" w:line="259" w:lineRule="auto"/>
              <w:ind w:left="0" w:right="57"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2B803523" w14:textId="77777777" w:rsidR="003D3187" w:rsidRDefault="00000000">
            <w:pPr>
              <w:spacing w:after="0" w:line="259" w:lineRule="auto"/>
              <w:ind w:left="0" w:right="57"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708347CB" w14:textId="77777777" w:rsidR="003D3187" w:rsidRDefault="00000000">
            <w:pPr>
              <w:spacing w:after="0" w:line="259" w:lineRule="auto"/>
              <w:ind w:left="0" w:right="57" w:firstLine="0"/>
              <w:jc w:val="right"/>
            </w:pPr>
            <w:r>
              <w:rPr>
                <w:sz w:val="22"/>
              </w:rPr>
              <w:t xml:space="preserve">(0.050) </w:t>
            </w:r>
          </w:p>
        </w:tc>
      </w:tr>
      <w:tr w:rsidR="003D3187" w14:paraId="77B7FC57" w14:textId="77777777">
        <w:trPr>
          <w:trHeight w:val="586"/>
        </w:trPr>
        <w:tc>
          <w:tcPr>
            <w:tcW w:w="1378" w:type="dxa"/>
            <w:tcBorders>
              <w:top w:val="single" w:sz="4" w:space="0" w:color="000000"/>
              <w:left w:val="single" w:sz="4" w:space="0" w:color="000000"/>
              <w:bottom w:val="single" w:sz="4" w:space="0" w:color="000000"/>
              <w:right w:val="single" w:sz="4" w:space="0" w:color="000000"/>
            </w:tcBorders>
          </w:tcPr>
          <w:p w14:paraId="25D5AB5B" w14:textId="77777777" w:rsidR="003D3187" w:rsidRDefault="00000000">
            <w:pPr>
              <w:spacing w:after="0" w:line="259" w:lineRule="auto"/>
              <w:ind w:left="0" w:firstLine="0"/>
            </w:pPr>
            <w:r>
              <w:rPr>
                <w:sz w:val="22"/>
              </w:rPr>
              <w:t xml:space="preserve">CE&amp;RS </w:t>
            </w:r>
          </w:p>
        </w:tc>
        <w:tc>
          <w:tcPr>
            <w:tcW w:w="3124" w:type="dxa"/>
            <w:tcBorders>
              <w:top w:val="single" w:sz="4" w:space="0" w:color="000000"/>
              <w:left w:val="single" w:sz="4" w:space="0" w:color="000000"/>
              <w:bottom w:val="single" w:sz="4" w:space="0" w:color="000000"/>
              <w:right w:val="single" w:sz="4" w:space="0" w:color="000000"/>
            </w:tcBorders>
          </w:tcPr>
          <w:p w14:paraId="111B8B44" w14:textId="77777777" w:rsidR="003D3187" w:rsidRDefault="00000000">
            <w:pPr>
              <w:spacing w:after="0" w:line="259" w:lineRule="auto"/>
              <w:ind w:left="0" w:firstLine="0"/>
            </w:pPr>
            <w:r>
              <w:rPr>
                <w:sz w:val="22"/>
              </w:rPr>
              <w:t xml:space="preserve">Commercial Waste </w:t>
            </w:r>
          </w:p>
        </w:tc>
        <w:tc>
          <w:tcPr>
            <w:tcW w:w="4921" w:type="dxa"/>
            <w:tcBorders>
              <w:top w:val="single" w:sz="4" w:space="0" w:color="000000"/>
              <w:left w:val="single" w:sz="4" w:space="0" w:color="000000"/>
              <w:bottom w:val="single" w:sz="4" w:space="0" w:color="000000"/>
              <w:right w:val="single" w:sz="4" w:space="0" w:color="000000"/>
            </w:tcBorders>
          </w:tcPr>
          <w:p w14:paraId="68BA74EF" w14:textId="77777777" w:rsidR="003D3187" w:rsidRDefault="00000000">
            <w:pPr>
              <w:spacing w:after="0" w:line="259" w:lineRule="auto"/>
              <w:ind w:left="0" w:firstLine="0"/>
            </w:pPr>
            <w:r>
              <w:rPr>
                <w:sz w:val="22"/>
              </w:rPr>
              <w:t xml:space="preserve">Fee increases will generate an estimated £0.115m of income. </w:t>
            </w:r>
          </w:p>
        </w:tc>
        <w:tc>
          <w:tcPr>
            <w:tcW w:w="1036" w:type="dxa"/>
            <w:tcBorders>
              <w:top w:val="single" w:sz="4" w:space="0" w:color="000000"/>
              <w:left w:val="single" w:sz="4" w:space="0" w:color="000000"/>
              <w:bottom w:val="single" w:sz="4" w:space="0" w:color="000000"/>
              <w:right w:val="single" w:sz="4" w:space="0" w:color="000000"/>
            </w:tcBorders>
            <w:vAlign w:val="bottom"/>
          </w:tcPr>
          <w:p w14:paraId="5424EEBB" w14:textId="77777777" w:rsidR="003D3187" w:rsidRDefault="00000000">
            <w:pPr>
              <w:spacing w:after="0" w:line="259" w:lineRule="auto"/>
              <w:ind w:left="0" w:right="57" w:firstLine="0"/>
              <w:jc w:val="right"/>
            </w:pPr>
            <w:r>
              <w:rPr>
                <w:sz w:val="22"/>
              </w:rPr>
              <w:t xml:space="preserve">(0.115) </w:t>
            </w:r>
          </w:p>
        </w:tc>
        <w:tc>
          <w:tcPr>
            <w:tcW w:w="1012" w:type="dxa"/>
            <w:tcBorders>
              <w:top w:val="single" w:sz="4" w:space="0" w:color="000000"/>
              <w:left w:val="single" w:sz="4" w:space="0" w:color="000000"/>
              <w:bottom w:val="single" w:sz="4" w:space="0" w:color="000000"/>
              <w:right w:val="single" w:sz="4" w:space="0" w:color="000000"/>
            </w:tcBorders>
            <w:vAlign w:val="bottom"/>
          </w:tcPr>
          <w:p w14:paraId="27E76A14" w14:textId="77777777" w:rsidR="003D3187" w:rsidRDefault="00000000">
            <w:pPr>
              <w:spacing w:after="0" w:line="259" w:lineRule="auto"/>
              <w:ind w:left="0" w:right="57"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73DD5B8D" w14:textId="77777777" w:rsidR="003D3187" w:rsidRDefault="00000000">
            <w:pPr>
              <w:spacing w:after="0" w:line="259" w:lineRule="auto"/>
              <w:ind w:left="0" w:right="57"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0E0E2BB5" w14:textId="77777777" w:rsidR="003D3187" w:rsidRDefault="00000000">
            <w:pPr>
              <w:spacing w:after="0" w:line="259" w:lineRule="auto"/>
              <w:ind w:left="0" w:right="57"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50AF7F6B" w14:textId="77777777" w:rsidR="003D3187" w:rsidRDefault="00000000">
            <w:pPr>
              <w:spacing w:after="0" w:line="259" w:lineRule="auto"/>
              <w:ind w:left="0" w:right="57" w:firstLine="0"/>
              <w:jc w:val="right"/>
            </w:pPr>
            <w:r>
              <w:rPr>
                <w:sz w:val="22"/>
              </w:rPr>
              <w:t xml:space="preserve">(0.115) </w:t>
            </w:r>
          </w:p>
        </w:tc>
      </w:tr>
      <w:tr w:rsidR="003D3187" w14:paraId="3C6C040A" w14:textId="77777777">
        <w:trPr>
          <w:trHeight w:val="586"/>
        </w:trPr>
        <w:tc>
          <w:tcPr>
            <w:tcW w:w="1378" w:type="dxa"/>
            <w:tcBorders>
              <w:top w:val="single" w:sz="4" w:space="0" w:color="000000"/>
              <w:left w:val="single" w:sz="4" w:space="0" w:color="000000"/>
              <w:bottom w:val="single" w:sz="4" w:space="0" w:color="000000"/>
              <w:right w:val="single" w:sz="4" w:space="0" w:color="000000"/>
            </w:tcBorders>
          </w:tcPr>
          <w:p w14:paraId="685898F4" w14:textId="77777777" w:rsidR="003D3187" w:rsidRDefault="00000000">
            <w:pPr>
              <w:spacing w:after="0" w:line="259" w:lineRule="auto"/>
              <w:ind w:left="0" w:firstLine="0"/>
            </w:pPr>
            <w:r>
              <w:rPr>
                <w:sz w:val="22"/>
              </w:rPr>
              <w:t xml:space="preserve">Corporate </w:t>
            </w:r>
          </w:p>
        </w:tc>
        <w:tc>
          <w:tcPr>
            <w:tcW w:w="3124" w:type="dxa"/>
            <w:tcBorders>
              <w:top w:val="single" w:sz="4" w:space="0" w:color="000000"/>
              <w:left w:val="single" w:sz="4" w:space="0" w:color="000000"/>
              <w:bottom w:val="single" w:sz="4" w:space="0" w:color="000000"/>
              <w:right w:val="single" w:sz="4" w:space="0" w:color="000000"/>
            </w:tcBorders>
          </w:tcPr>
          <w:p w14:paraId="29F0B284" w14:textId="77777777" w:rsidR="003D3187" w:rsidRDefault="00000000">
            <w:pPr>
              <w:spacing w:after="0" w:line="259" w:lineRule="auto"/>
              <w:ind w:left="0" w:firstLine="0"/>
            </w:pPr>
            <w:r>
              <w:rPr>
                <w:sz w:val="22"/>
              </w:rPr>
              <w:t xml:space="preserve">Public Health Reserve  </w:t>
            </w:r>
          </w:p>
        </w:tc>
        <w:tc>
          <w:tcPr>
            <w:tcW w:w="4921" w:type="dxa"/>
            <w:tcBorders>
              <w:top w:val="single" w:sz="4" w:space="0" w:color="000000"/>
              <w:left w:val="single" w:sz="4" w:space="0" w:color="000000"/>
              <w:bottom w:val="single" w:sz="4" w:space="0" w:color="000000"/>
              <w:right w:val="single" w:sz="4" w:space="0" w:color="000000"/>
            </w:tcBorders>
          </w:tcPr>
          <w:p w14:paraId="11FD3EAF" w14:textId="77777777" w:rsidR="003D3187" w:rsidRDefault="00000000">
            <w:pPr>
              <w:spacing w:after="0" w:line="259" w:lineRule="auto"/>
              <w:ind w:left="0" w:right="46" w:firstLine="0"/>
            </w:pPr>
            <w:r>
              <w:rPr>
                <w:sz w:val="22"/>
              </w:rPr>
              <w:t xml:space="preserve">Use of Public Health Reserve for 3 years to offset eligible service revenue costs </w:t>
            </w:r>
          </w:p>
        </w:tc>
        <w:tc>
          <w:tcPr>
            <w:tcW w:w="1036" w:type="dxa"/>
            <w:tcBorders>
              <w:top w:val="single" w:sz="4" w:space="0" w:color="000000"/>
              <w:left w:val="single" w:sz="4" w:space="0" w:color="000000"/>
              <w:bottom w:val="single" w:sz="4" w:space="0" w:color="000000"/>
              <w:right w:val="single" w:sz="4" w:space="0" w:color="000000"/>
            </w:tcBorders>
            <w:vAlign w:val="bottom"/>
          </w:tcPr>
          <w:p w14:paraId="3B5A730D" w14:textId="77777777" w:rsidR="003D3187" w:rsidRDefault="00000000">
            <w:pPr>
              <w:spacing w:after="0" w:line="259" w:lineRule="auto"/>
              <w:ind w:left="0" w:right="57" w:firstLine="0"/>
              <w:jc w:val="right"/>
            </w:pPr>
            <w:r>
              <w:rPr>
                <w:sz w:val="22"/>
              </w:rPr>
              <w:t xml:space="preserve">(2.000)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17FC8B66" w14:textId="77777777" w:rsidR="003D3187" w:rsidRDefault="00000000">
            <w:pPr>
              <w:spacing w:after="0" w:line="259" w:lineRule="auto"/>
              <w:ind w:left="0" w:right="57"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4E7C7B15" w14:textId="77777777" w:rsidR="003D3187" w:rsidRDefault="00000000">
            <w:pPr>
              <w:spacing w:after="0" w:line="259" w:lineRule="auto"/>
              <w:ind w:left="0" w:right="57"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188AA2DB" w14:textId="77777777" w:rsidR="003D3187" w:rsidRDefault="00000000">
            <w:pPr>
              <w:spacing w:after="0" w:line="259" w:lineRule="auto"/>
              <w:ind w:left="0" w:right="57" w:firstLine="0"/>
              <w:jc w:val="right"/>
            </w:pPr>
            <w:r>
              <w:rPr>
                <w:sz w:val="22"/>
              </w:rPr>
              <w:t xml:space="preserve">2.000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19967750" w14:textId="77777777" w:rsidR="003D3187" w:rsidRDefault="00000000">
            <w:pPr>
              <w:spacing w:after="0" w:line="259" w:lineRule="auto"/>
              <w:ind w:left="0" w:right="57" w:firstLine="0"/>
              <w:jc w:val="right"/>
            </w:pPr>
            <w:r>
              <w:rPr>
                <w:sz w:val="22"/>
              </w:rPr>
              <w:t xml:space="preserve">0.000 </w:t>
            </w:r>
          </w:p>
        </w:tc>
      </w:tr>
      <w:tr w:rsidR="003D3187" w14:paraId="1426C6B9" w14:textId="77777777">
        <w:trPr>
          <w:trHeight w:val="586"/>
        </w:trPr>
        <w:tc>
          <w:tcPr>
            <w:tcW w:w="1378" w:type="dxa"/>
            <w:tcBorders>
              <w:top w:val="single" w:sz="4" w:space="0" w:color="000000"/>
              <w:left w:val="single" w:sz="4" w:space="0" w:color="000000"/>
              <w:bottom w:val="single" w:sz="4" w:space="0" w:color="000000"/>
              <w:right w:val="single" w:sz="4" w:space="0" w:color="000000"/>
            </w:tcBorders>
          </w:tcPr>
          <w:p w14:paraId="16E3D485" w14:textId="77777777" w:rsidR="003D3187" w:rsidRDefault="00000000">
            <w:pPr>
              <w:spacing w:after="0" w:line="259" w:lineRule="auto"/>
              <w:ind w:left="0" w:firstLine="0"/>
            </w:pPr>
            <w:r>
              <w:rPr>
                <w:sz w:val="22"/>
              </w:rPr>
              <w:t xml:space="preserve">F&amp;R </w:t>
            </w:r>
          </w:p>
        </w:tc>
        <w:tc>
          <w:tcPr>
            <w:tcW w:w="3124" w:type="dxa"/>
            <w:tcBorders>
              <w:top w:val="single" w:sz="4" w:space="0" w:color="000000"/>
              <w:left w:val="single" w:sz="4" w:space="0" w:color="000000"/>
              <w:bottom w:val="single" w:sz="4" w:space="0" w:color="000000"/>
              <w:right w:val="single" w:sz="4" w:space="0" w:color="000000"/>
            </w:tcBorders>
          </w:tcPr>
          <w:p w14:paraId="3D5CA079" w14:textId="77777777" w:rsidR="003D3187" w:rsidRDefault="00000000">
            <w:pPr>
              <w:spacing w:after="0" w:line="259" w:lineRule="auto"/>
              <w:ind w:left="0" w:firstLine="0"/>
            </w:pPr>
            <w:r>
              <w:rPr>
                <w:sz w:val="22"/>
              </w:rPr>
              <w:t xml:space="preserve">One off insurance reserve surplus usage </w:t>
            </w:r>
          </w:p>
        </w:tc>
        <w:tc>
          <w:tcPr>
            <w:tcW w:w="4921" w:type="dxa"/>
            <w:tcBorders>
              <w:top w:val="single" w:sz="4" w:space="0" w:color="000000"/>
              <w:left w:val="single" w:sz="4" w:space="0" w:color="000000"/>
              <w:bottom w:val="single" w:sz="4" w:space="0" w:color="000000"/>
              <w:right w:val="single" w:sz="4" w:space="0" w:color="000000"/>
            </w:tcBorders>
          </w:tcPr>
          <w:p w14:paraId="2585179A" w14:textId="77777777" w:rsidR="003D3187" w:rsidRDefault="00000000">
            <w:pPr>
              <w:spacing w:after="0" w:line="259" w:lineRule="auto"/>
              <w:ind w:left="0" w:right="21" w:firstLine="0"/>
            </w:pPr>
            <w:r>
              <w:rPr>
                <w:sz w:val="22"/>
              </w:rPr>
              <w:t xml:space="preserve">Use one off surplus to fund the insurance and risk team in 2026/27. </w:t>
            </w:r>
          </w:p>
        </w:tc>
        <w:tc>
          <w:tcPr>
            <w:tcW w:w="1036" w:type="dxa"/>
            <w:tcBorders>
              <w:top w:val="single" w:sz="4" w:space="0" w:color="000000"/>
              <w:left w:val="single" w:sz="4" w:space="0" w:color="000000"/>
              <w:bottom w:val="single" w:sz="4" w:space="0" w:color="000000"/>
              <w:right w:val="single" w:sz="4" w:space="0" w:color="000000"/>
            </w:tcBorders>
            <w:vAlign w:val="bottom"/>
          </w:tcPr>
          <w:p w14:paraId="7DE73A05" w14:textId="77777777" w:rsidR="003D3187" w:rsidRDefault="00000000">
            <w:pPr>
              <w:spacing w:after="0" w:line="259" w:lineRule="auto"/>
              <w:ind w:left="0" w:right="57" w:firstLine="0"/>
              <w:jc w:val="right"/>
            </w:pPr>
            <w:r>
              <w:rPr>
                <w:sz w:val="22"/>
              </w:rPr>
              <w:t xml:space="preserve">(0.500)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2AA9D22C" w14:textId="77777777" w:rsidR="003D3187" w:rsidRDefault="00000000">
            <w:pPr>
              <w:spacing w:after="0" w:line="259" w:lineRule="auto"/>
              <w:ind w:left="0" w:right="57" w:firstLine="0"/>
              <w:jc w:val="right"/>
            </w:pPr>
            <w:r>
              <w:rPr>
                <w:sz w:val="22"/>
              </w:rPr>
              <w:t xml:space="preserve">0.500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4FF09B4E" w14:textId="77777777" w:rsidR="003D3187" w:rsidRDefault="00000000">
            <w:pPr>
              <w:spacing w:after="0" w:line="259" w:lineRule="auto"/>
              <w:ind w:left="0" w:right="57"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5C82D773" w14:textId="77777777" w:rsidR="003D3187" w:rsidRDefault="00000000">
            <w:pPr>
              <w:spacing w:after="0" w:line="259" w:lineRule="auto"/>
              <w:ind w:left="0" w:right="57"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229047FF" w14:textId="77777777" w:rsidR="003D3187" w:rsidRDefault="00000000">
            <w:pPr>
              <w:spacing w:after="0" w:line="259" w:lineRule="auto"/>
              <w:ind w:left="0" w:right="57" w:firstLine="0"/>
              <w:jc w:val="right"/>
            </w:pPr>
            <w:r>
              <w:rPr>
                <w:sz w:val="22"/>
              </w:rPr>
              <w:t xml:space="preserve">0.000 </w:t>
            </w:r>
          </w:p>
        </w:tc>
      </w:tr>
      <w:tr w:rsidR="003D3187" w14:paraId="7E51AF8E" w14:textId="77777777">
        <w:trPr>
          <w:trHeight w:val="769"/>
        </w:trPr>
        <w:tc>
          <w:tcPr>
            <w:tcW w:w="1378" w:type="dxa"/>
            <w:tcBorders>
              <w:top w:val="single" w:sz="4" w:space="0" w:color="000000"/>
              <w:left w:val="single" w:sz="4" w:space="0" w:color="000000"/>
              <w:bottom w:val="single" w:sz="4" w:space="0" w:color="000000"/>
              <w:right w:val="single" w:sz="4" w:space="0" w:color="000000"/>
            </w:tcBorders>
          </w:tcPr>
          <w:p w14:paraId="2EA26CD1" w14:textId="77777777" w:rsidR="003D3187" w:rsidRDefault="00000000">
            <w:pPr>
              <w:spacing w:after="0" w:line="259" w:lineRule="auto"/>
              <w:ind w:left="0" w:firstLine="0"/>
            </w:pPr>
            <w:r>
              <w:rPr>
                <w:sz w:val="22"/>
              </w:rPr>
              <w:t xml:space="preserve">F&amp;R </w:t>
            </w:r>
          </w:p>
        </w:tc>
        <w:tc>
          <w:tcPr>
            <w:tcW w:w="3124" w:type="dxa"/>
            <w:tcBorders>
              <w:top w:val="single" w:sz="4" w:space="0" w:color="000000"/>
              <w:left w:val="single" w:sz="4" w:space="0" w:color="000000"/>
              <w:bottom w:val="single" w:sz="4" w:space="0" w:color="000000"/>
              <w:right w:val="single" w:sz="4" w:space="0" w:color="000000"/>
            </w:tcBorders>
          </w:tcPr>
          <w:p w14:paraId="28355DF3" w14:textId="77777777" w:rsidR="003D3187" w:rsidRDefault="00000000">
            <w:pPr>
              <w:spacing w:after="0" w:line="259" w:lineRule="auto"/>
              <w:ind w:left="0" w:firstLine="0"/>
            </w:pPr>
            <w:r>
              <w:rPr>
                <w:sz w:val="22"/>
              </w:rPr>
              <w:t xml:space="preserve">Introduction of electric vehicle salary sacrifice on NI contributions </w:t>
            </w:r>
          </w:p>
        </w:tc>
        <w:tc>
          <w:tcPr>
            <w:tcW w:w="4921" w:type="dxa"/>
            <w:tcBorders>
              <w:top w:val="single" w:sz="4" w:space="0" w:color="000000"/>
              <w:left w:val="single" w:sz="4" w:space="0" w:color="000000"/>
              <w:bottom w:val="single" w:sz="4" w:space="0" w:color="000000"/>
              <w:right w:val="single" w:sz="4" w:space="0" w:color="000000"/>
            </w:tcBorders>
          </w:tcPr>
          <w:p w14:paraId="22620CD2" w14:textId="77777777" w:rsidR="003D3187" w:rsidRDefault="00000000">
            <w:pPr>
              <w:spacing w:after="0" w:line="259" w:lineRule="auto"/>
              <w:ind w:left="0" w:firstLine="0"/>
            </w:pPr>
            <w:r>
              <w:rPr>
                <w:sz w:val="22"/>
              </w:rPr>
              <w:t xml:space="preserve">Introduction of electric vehicle salary sacrifice on NI contributions for staff. </w:t>
            </w:r>
          </w:p>
        </w:tc>
        <w:tc>
          <w:tcPr>
            <w:tcW w:w="1036" w:type="dxa"/>
            <w:tcBorders>
              <w:top w:val="single" w:sz="4" w:space="0" w:color="000000"/>
              <w:left w:val="single" w:sz="4" w:space="0" w:color="000000"/>
              <w:bottom w:val="single" w:sz="4" w:space="0" w:color="000000"/>
              <w:right w:val="single" w:sz="4" w:space="0" w:color="000000"/>
            </w:tcBorders>
            <w:vAlign w:val="bottom"/>
          </w:tcPr>
          <w:p w14:paraId="26928A17" w14:textId="77777777" w:rsidR="003D3187" w:rsidRDefault="00000000">
            <w:pPr>
              <w:spacing w:after="0" w:line="259" w:lineRule="auto"/>
              <w:ind w:left="0" w:right="57" w:firstLine="0"/>
              <w:jc w:val="right"/>
            </w:pPr>
            <w:r>
              <w:rPr>
                <w:sz w:val="22"/>
              </w:rPr>
              <w:t xml:space="preserve">(0.113) </w:t>
            </w:r>
          </w:p>
        </w:tc>
        <w:tc>
          <w:tcPr>
            <w:tcW w:w="1012" w:type="dxa"/>
            <w:tcBorders>
              <w:top w:val="single" w:sz="4" w:space="0" w:color="000000"/>
              <w:left w:val="single" w:sz="4" w:space="0" w:color="000000"/>
              <w:bottom w:val="single" w:sz="4" w:space="0" w:color="000000"/>
              <w:right w:val="single" w:sz="4" w:space="0" w:color="000000"/>
            </w:tcBorders>
            <w:vAlign w:val="bottom"/>
          </w:tcPr>
          <w:p w14:paraId="5EC857DD" w14:textId="77777777" w:rsidR="003D3187" w:rsidRDefault="00000000">
            <w:pPr>
              <w:spacing w:after="0" w:line="259" w:lineRule="auto"/>
              <w:ind w:left="0" w:right="57" w:firstLine="0"/>
              <w:jc w:val="right"/>
            </w:pPr>
            <w:r>
              <w:rPr>
                <w:sz w:val="22"/>
              </w:rPr>
              <w:t xml:space="preserve">(0.126) </w:t>
            </w:r>
          </w:p>
        </w:tc>
        <w:tc>
          <w:tcPr>
            <w:tcW w:w="1012" w:type="dxa"/>
            <w:tcBorders>
              <w:top w:val="single" w:sz="4" w:space="0" w:color="000000"/>
              <w:left w:val="single" w:sz="4" w:space="0" w:color="000000"/>
              <w:bottom w:val="single" w:sz="4" w:space="0" w:color="000000"/>
              <w:right w:val="single" w:sz="4" w:space="0" w:color="000000"/>
            </w:tcBorders>
            <w:vAlign w:val="bottom"/>
          </w:tcPr>
          <w:p w14:paraId="46DFAC60" w14:textId="77777777" w:rsidR="003D3187" w:rsidRDefault="00000000">
            <w:pPr>
              <w:spacing w:after="0" w:line="259" w:lineRule="auto"/>
              <w:ind w:left="0" w:right="57" w:firstLine="0"/>
              <w:jc w:val="right"/>
            </w:pPr>
            <w:r>
              <w:rPr>
                <w:sz w:val="22"/>
              </w:rPr>
              <w:t xml:space="preserve">(0.068) </w:t>
            </w:r>
          </w:p>
        </w:tc>
        <w:tc>
          <w:tcPr>
            <w:tcW w:w="1117" w:type="dxa"/>
            <w:tcBorders>
              <w:top w:val="single" w:sz="4" w:space="0" w:color="000000"/>
              <w:left w:val="single" w:sz="4" w:space="0" w:color="000000"/>
              <w:bottom w:val="single" w:sz="4" w:space="0" w:color="000000"/>
              <w:right w:val="single" w:sz="4" w:space="0" w:color="000000"/>
            </w:tcBorders>
            <w:vAlign w:val="bottom"/>
          </w:tcPr>
          <w:p w14:paraId="0DE4B8B8" w14:textId="77777777" w:rsidR="003D3187" w:rsidRDefault="00000000">
            <w:pPr>
              <w:spacing w:after="0" w:line="259" w:lineRule="auto"/>
              <w:ind w:left="0" w:right="57"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1A8F1628" w14:textId="77777777" w:rsidR="003D3187" w:rsidRDefault="00000000">
            <w:pPr>
              <w:spacing w:after="0" w:line="259" w:lineRule="auto"/>
              <w:ind w:left="0" w:right="57" w:firstLine="0"/>
              <w:jc w:val="right"/>
            </w:pPr>
            <w:r>
              <w:rPr>
                <w:sz w:val="22"/>
              </w:rPr>
              <w:t xml:space="preserve">(0.307) </w:t>
            </w:r>
          </w:p>
        </w:tc>
      </w:tr>
      <w:tr w:rsidR="003D3187" w14:paraId="08F1AAE1" w14:textId="77777777">
        <w:trPr>
          <w:trHeight w:val="1275"/>
        </w:trPr>
        <w:tc>
          <w:tcPr>
            <w:tcW w:w="1378" w:type="dxa"/>
            <w:tcBorders>
              <w:top w:val="single" w:sz="4" w:space="0" w:color="000000"/>
              <w:left w:val="single" w:sz="4" w:space="0" w:color="000000"/>
              <w:bottom w:val="single" w:sz="4" w:space="0" w:color="000000"/>
              <w:right w:val="single" w:sz="4" w:space="0" w:color="000000"/>
            </w:tcBorders>
          </w:tcPr>
          <w:p w14:paraId="1EC8CF2D" w14:textId="77777777" w:rsidR="003D3187" w:rsidRDefault="00000000">
            <w:pPr>
              <w:spacing w:after="0" w:line="259" w:lineRule="auto"/>
              <w:ind w:left="0" w:firstLine="0"/>
            </w:pPr>
            <w:r>
              <w:rPr>
                <w:sz w:val="22"/>
              </w:rPr>
              <w:t xml:space="preserve">G&amp;CD </w:t>
            </w:r>
          </w:p>
        </w:tc>
        <w:tc>
          <w:tcPr>
            <w:tcW w:w="3124" w:type="dxa"/>
            <w:tcBorders>
              <w:top w:val="single" w:sz="4" w:space="0" w:color="000000"/>
              <w:left w:val="single" w:sz="4" w:space="0" w:color="000000"/>
              <w:bottom w:val="single" w:sz="4" w:space="0" w:color="000000"/>
              <w:right w:val="single" w:sz="4" w:space="0" w:color="000000"/>
            </w:tcBorders>
          </w:tcPr>
          <w:p w14:paraId="18C0BD1A" w14:textId="77777777" w:rsidR="003D3187" w:rsidRDefault="00000000">
            <w:pPr>
              <w:spacing w:after="0" w:line="259" w:lineRule="auto"/>
              <w:ind w:left="0" w:firstLine="0"/>
            </w:pPr>
            <w:r>
              <w:rPr>
                <w:sz w:val="22"/>
              </w:rPr>
              <w:t xml:space="preserve">Asset rationalisation pressure review </w:t>
            </w:r>
          </w:p>
        </w:tc>
        <w:tc>
          <w:tcPr>
            <w:tcW w:w="4921" w:type="dxa"/>
            <w:tcBorders>
              <w:top w:val="single" w:sz="4" w:space="0" w:color="000000"/>
              <w:left w:val="single" w:sz="4" w:space="0" w:color="000000"/>
              <w:bottom w:val="single" w:sz="4" w:space="0" w:color="000000"/>
              <w:right w:val="single" w:sz="4" w:space="0" w:color="000000"/>
            </w:tcBorders>
          </w:tcPr>
          <w:p w14:paraId="35235A6C" w14:textId="77777777" w:rsidR="003D3187" w:rsidRDefault="00000000">
            <w:pPr>
              <w:spacing w:after="0" w:line="259" w:lineRule="auto"/>
              <w:ind w:left="0" w:firstLine="0"/>
            </w:pPr>
            <w:r>
              <w:rPr>
                <w:sz w:val="22"/>
              </w:rPr>
              <w:t xml:space="preserve">Funding was put aside to offset the loss of income through asset sales, these sales have since not had the scale of income reductions expected so the put aside money can be reallocated.  </w:t>
            </w:r>
          </w:p>
        </w:tc>
        <w:tc>
          <w:tcPr>
            <w:tcW w:w="1036" w:type="dxa"/>
            <w:tcBorders>
              <w:top w:val="single" w:sz="4" w:space="0" w:color="000000"/>
              <w:left w:val="single" w:sz="4" w:space="0" w:color="000000"/>
              <w:bottom w:val="single" w:sz="4" w:space="0" w:color="000000"/>
              <w:right w:val="single" w:sz="4" w:space="0" w:color="000000"/>
            </w:tcBorders>
            <w:vAlign w:val="bottom"/>
          </w:tcPr>
          <w:p w14:paraId="2850C21E" w14:textId="77777777" w:rsidR="003D3187" w:rsidRDefault="00000000">
            <w:pPr>
              <w:spacing w:after="0" w:line="259" w:lineRule="auto"/>
              <w:ind w:left="0" w:right="57" w:firstLine="0"/>
              <w:jc w:val="right"/>
            </w:pPr>
            <w:r>
              <w:rPr>
                <w:sz w:val="22"/>
              </w:rPr>
              <w:t xml:space="preserve">(1.000)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3D33CD6B" w14:textId="77777777" w:rsidR="003D3187" w:rsidRDefault="00000000">
            <w:pPr>
              <w:spacing w:after="0" w:line="259" w:lineRule="auto"/>
              <w:ind w:left="0" w:right="57"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075C5785" w14:textId="77777777" w:rsidR="003D3187" w:rsidRDefault="00000000">
            <w:pPr>
              <w:spacing w:after="0" w:line="259" w:lineRule="auto"/>
              <w:ind w:left="0" w:right="57"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7C962E07" w14:textId="77777777" w:rsidR="003D3187" w:rsidRDefault="00000000">
            <w:pPr>
              <w:spacing w:after="0" w:line="259" w:lineRule="auto"/>
              <w:ind w:left="0" w:right="57"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2870C2E6" w14:textId="77777777" w:rsidR="003D3187" w:rsidRDefault="00000000">
            <w:pPr>
              <w:spacing w:after="0" w:line="259" w:lineRule="auto"/>
              <w:ind w:left="0" w:right="57" w:firstLine="0"/>
              <w:jc w:val="right"/>
            </w:pPr>
            <w:r>
              <w:rPr>
                <w:sz w:val="22"/>
              </w:rPr>
              <w:t xml:space="preserve">(1.000) </w:t>
            </w:r>
          </w:p>
        </w:tc>
      </w:tr>
      <w:tr w:rsidR="003D3187" w14:paraId="186EB668" w14:textId="77777777">
        <w:trPr>
          <w:trHeight w:val="586"/>
        </w:trPr>
        <w:tc>
          <w:tcPr>
            <w:tcW w:w="1378" w:type="dxa"/>
            <w:tcBorders>
              <w:top w:val="single" w:sz="4" w:space="0" w:color="000000"/>
              <w:left w:val="single" w:sz="4" w:space="0" w:color="000000"/>
              <w:bottom w:val="single" w:sz="4" w:space="0" w:color="000000"/>
              <w:right w:val="single" w:sz="4" w:space="0" w:color="000000"/>
            </w:tcBorders>
          </w:tcPr>
          <w:p w14:paraId="3A352B7E" w14:textId="77777777" w:rsidR="003D3187" w:rsidRDefault="00000000">
            <w:pPr>
              <w:spacing w:after="0" w:line="259" w:lineRule="auto"/>
              <w:ind w:left="0" w:firstLine="0"/>
            </w:pPr>
            <w:r>
              <w:rPr>
                <w:sz w:val="22"/>
              </w:rPr>
              <w:t xml:space="preserve">G&amp;CD </w:t>
            </w:r>
          </w:p>
        </w:tc>
        <w:tc>
          <w:tcPr>
            <w:tcW w:w="3124" w:type="dxa"/>
            <w:tcBorders>
              <w:top w:val="single" w:sz="4" w:space="0" w:color="000000"/>
              <w:left w:val="single" w:sz="4" w:space="0" w:color="000000"/>
              <w:bottom w:val="single" w:sz="4" w:space="0" w:color="000000"/>
              <w:right w:val="single" w:sz="4" w:space="0" w:color="000000"/>
            </w:tcBorders>
          </w:tcPr>
          <w:p w14:paraId="24D24BA1" w14:textId="77777777" w:rsidR="003D3187" w:rsidRDefault="00000000">
            <w:pPr>
              <w:spacing w:after="0" w:line="259" w:lineRule="auto"/>
              <w:ind w:left="0" w:firstLine="0"/>
            </w:pPr>
            <w:r>
              <w:rPr>
                <w:sz w:val="22"/>
              </w:rPr>
              <w:t xml:space="preserve">Workplace Parking Levy </w:t>
            </w:r>
          </w:p>
        </w:tc>
        <w:tc>
          <w:tcPr>
            <w:tcW w:w="4921" w:type="dxa"/>
            <w:tcBorders>
              <w:top w:val="single" w:sz="4" w:space="0" w:color="000000"/>
              <w:left w:val="single" w:sz="4" w:space="0" w:color="000000"/>
              <w:bottom w:val="single" w:sz="4" w:space="0" w:color="000000"/>
              <w:right w:val="single" w:sz="4" w:space="0" w:color="000000"/>
            </w:tcBorders>
          </w:tcPr>
          <w:p w14:paraId="32AC2493" w14:textId="77777777" w:rsidR="003D3187" w:rsidRDefault="00000000">
            <w:pPr>
              <w:spacing w:after="0" w:line="259" w:lineRule="auto"/>
              <w:ind w:left="0" w:firstLine="0"/>
            </w:pPr>
            <w:r>
              <w:rPr>
                <w:sz w:val="22"/>
              </w:rPr>
              <w:t xml:space="preserve">Review of existing Workplace Parking Charges </w:t>
            </w:r>
          </w:p>
        </w:tc>
        <w:tc>
          <w:tcPr>
            <w:tcW w:w="1036" w:type="dxa"/>
            <w:tcBorders>
              <w:top w:val="single" w:sz="4" w:space="0" w:color="000000"/>
              <w:left w:val="single" w:sz="4" w:space="0" w:color="000000"/>
              <w:bottom w:val="single" w:sz="4" w:space="0" w:color="000000"/>
              <w:right w:val="single" w:sz="4" w:space="0" w:color="000000"/>
            </w:tcBorders>
            <w:vAlign w:val="bottom"/>
          </w:tcPr>
          <w:p w14:paraId="1103E104" w14:textId="77777777" w:rsidR="003D3187" w:rsidRDefault="00000000">
            <w:pPr>
              <w:spacing w:after="0" w:line="259" w:lineRule="auto"/>
              <w:ind w:left="0" w:right="57" w:firstLine="0"/>
              <w:jc w:val="right"/>
            </w:pPr>
            <w:r>
              <w:rPr>
                <w:sz w:val="22"/>
              </w:rPr>
              <w:t xml:space="preserve">(0.228) </w:t>
            </w:r>
          </w:p>
        </w:tc>
        <w:tc>
          <w:tcPr>
            <w:tcW w:w="1012" w:type="dxa"/>
            <w:tcBorders>
              <w:top w:val="single" w:sz="4" w:space="0" w:color="000000"/>
              <w:left w:val="single" w:sz="4" w:space="0" w:color="000000"/>
              <w:bottom w:val="single" w:sz="4" w:space="0" w:color="000000"/>
              <w:right w:val="single" w:sz="4" w:space="0" w:color="000000"/>
            </w:tcBorders>
            <w:vAlign w:val="bottom"/>
          </w:tcPr>
          <w:p w14:paraId="5CDC001D" w14:textId="77777777" w:rsidR="003D3187" w:rsidRDefault="00000000">
            <w:pPr>
              <w:spacing w:after="0" w:line="259" w:lineRule="auto"/>
              <w:ind w:left="0" w:right="57"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7EFD3212" w14:textId="77777777" w:rsidR="003D3187" w:rsidRDefault="00000000">
            <w:pPr>
              <w:spacing w:after="0" w:line="259" w:lineRule="auto"/>
              <w:ind w:left="0" w:right="57"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5276DF10" w14:textId="77777777" w:rsidR="003D3187" w:rsidRDefault="00000000">
            <w:pPr>
              <w:spacing w:after="0" w:line="259" w:lineRule="auto"/>
              <w:ind w:left="0" w:right="57"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355852D6" w14:textId="77777777" w:rsidR="003D3187" w:rsidRDefault="00000000">
            <w:pPr>
              <w:spacing w:after="0" w:line="259" w:lineRule="auto"/>
              <w:ind w:left="0" w:right="57" w:firstLine="0"/>
              <w:jc w:val="right"/>
            </w:pPr>
            <w:r>
              <w:rPr>
                <w:sz w:val="22"/>
              </w:rPr>
              <w:t xml:space="preserve">0.000 </w:t>
            </w:r>
          </w:p>
        </w:tc>
      </w:tr>
      <w:tr w:rsidR="003D3187" w14:paraId="0C963FAA" w14:textId="77777777">
        <w:trPr>
          <w:trHeight w:val="586"/>
        </w:trPr>
        <w:tc>
          <w:tcPr>
            <w:tcW w:w="1378" w:type="dxa"/>
            <w:tcBorders>
              <w:top w:val="single" w:sz="4" w:space="0" w:color="000000"/>
              <w:left w:val="single" w:sz="4" w:space="0" w:color="000000"/>
              <w:bottom w:val="single" w:sz="4" w:space="0" w:color="000000"/>
              <w:right w:val="single" w:sz="4" w:space="0" w:color="000000"/>
            </w:tcBorders>
          </w:tcPr>
          <w:p w14:paraId="6A588560" w14:textId="77777777" w:rsidR="003D3187" w:rsidRDefault="00000000">
            <w:pPr>
              <w:spacing w:after="0" w:line="259" w:lineRule="auto"/>
              <w:ind w:left="0" w:firstLine="0"/>
            </w:pPr>
            <w:r>
              <w:rPr>
                <w:sz w:val="22"/>
              </w:rPr>
              <w:t xml:space="preserve">G&amp;CD </w:t>
            </w:r>
          </w:p>
        </w:tc>
        <w:tc>
          <w:tcPr>
            <w:tcW w:w="3124" w:type="dxa"/>
            <w:tcBorders>
              <w:top w:val="single" w:sz="4" w:space="0" w:color="000000"/>
              <w:left w:val="single" w:sz="4" w:space="0" w:color="000000"/>
              <w:bottom w:val="single" w:sz="4" w:space="0" w:color="000000"/>
              <w:right w:val="single" w:sz="4" w:space="0" w:color="000000"/>
            </w:tcBorders>
          </w:tcPr>
          <w:p w14:paraId="6101ACA8" w14:textId="77777777" w:rsidR="003D3187" w:rsidRDefault="00000000">
            <w:pPr>
              <w:spacing w:after="0" w:line="259" w:lineRule="auto"/>
              <w:ind w:left="0" w:firstLine="0"/>
            </w:pPr>
            <w:r>
              <w:rPr>
                <w:sz w:val="22"/>
              </w:rPr>
              <w:t xml:space="preserve">Broadmarsh site security </w:t>
            </w:r>
          </w:p>
        </w:tc>
        <w:tc>
          <w:tcPr>
            <w:tcW w:w="4921" w:type="dxa"/>
            <w:tcBorders>
              <w:top w:val="single" w:sz="4" w:space="0" w:color="000000"/>
              <w:left w:val="single" w:sz="4" w:space="0" w:color="000000"/>
              <w:bottom w:val="single" w:sz="4" w:space="0" w:color="000000"/>
              <w:right w:val="single" w:sz="4" w:space="0" w:color="000000"/>
            </w:tcBorders>
          </w:tcPr>
          <w:p w14:paraId="1849A1BE" w14:textId="77777777" w:rsidR="003D3187" w:rsidRDefault="00000000">
            <w:pPr>
              <w:spacing w:after="0" w:line="259" w:lineRule="auto"/>
              <w:ind w:left="0" w:firstLine="0"/>
            </w:pPr>
            <w:r>
              <w:rPr>
                <w:sz w:val="22"/>
              </w:rPr>
              <w:t xml:space="preserve">Majority of the site has been sold.  This savings recognises the reduction in holding costs. </w:t>
            </w:r>
          </w:p>
        </w:tc>
        <w:tc>
          <w:tcPr>
            <w:tcW w:w="1036" w:type="dxa"/>
            <w:tcBorders>
              <w:top w:val="single" w:sz="4" w:space="0" w:color="000000"/>
              <w:left w:val="single" w:sz="4" w:space="0" w:color="000000"/>
              <w:bottom w:val="single" w:sz="4" w:space="0" w:color="000000"/>
              <w:right w:val="single" w:sz="4" w:space="0" w:color="000000"/>
            </w:tcBorders>
            <w:vAlign w:val="bottom"/>
          </w:tcPr>
          <w:p w14:paraId="5BCEC166" w14:textId="77777777" w:rsidR="003D3187" w:rsidRDefault="00000000">
            <w:pPr>
              <w:spacing w:after="0" w:line="259" w:lineRule="auto"/>
              <w:ind w:left="0" w:right="57" w:firstLine="0"/>
              <w:jc w:val="right"/>
            </w:pPr>
            <w:r>
              <w:rPr>
                <w:sz w:val="22"/>
              </w:rPr>
              <w:t xml:space="preserve">(1.150) </w:t>
            </w:r>
          </w:p>
        </w:tc>
        <w:tc>
          <w:tcPr>
            <w:tcW w:w="1012" w:type="dxa"/>
            <w:tcBorders>
              <w:top w:val="single" w:sz="4" w:space="0" w:color="000000"/>
              <w:left w:val="single" w:sz="4" w:space="0" w:color="000000"/>
              <w:bottom w:val="single" w:sz="4" w:space="0" w:color="000000"/>
              <w:right w:val="single" w:sz="4" w:space="0" w:color="000000"/>
            </w:tcBorders>
            <w:vAlign w:val="bottom"/>
          </w:tcPr>
          <w:p w14:paraId="25DE5BEB" w14:textId="77777777" w:rsidR="003D3187" w:rsidRDefault="00000000">
            <w:pPr>
              <w:spacing w:after="0" w:line="259" w:lineRule="auto"/>
              <w:ind w:left="0" w:right="57" w:firstLine="0"/>
              <w:jc w:val="right"/>
            </w:pPr>
            <w:r>
              <w:rPr>
                <w:sz w:val="22"/>
              </w:rPr>
              <w:t xml:space="preserve">0.000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5E79157E" w14:textId="77777777" w:rsidR="003D3187" w:rsidRDefault="00000000">
            <w:pPr>
              <w:spacing w:after="0" w:line="259" w:lineRule="auto"/>
              <w:ind w:left="0" w:right="57" w:firstLine="0"/>
              <w:jc w:val="right"/>
            </w:pPr>
            <w:r>
              <w:rPr>
                <w:sz w:val="22"/>
              </w:rPr>
              <w:t xml:space="preserve">0.000 </w:t>
            </w:r>
          </w:p>
        </w:tc>
        <w:tc>
          <w:tcPr>
            <w:tcW w:w="1117" w:type="dxa"/>
            <w:tcBorders>
              <w:top w:val="single" w:sz="4" w:space="0" w:color="000000"/>
              <w:left w:val="single" w:sz="4" w:space="0" w:color="000000"/>
              <w:bottom w:val="single" w:sz="4" w:space="0" w:color="000000"/>
              <w:right w:val="single" w:sz="4" w:space="0" w:color="000000"/>
            </w:tcBorders>
            <w:vAlign w:val="bottom"/>
          </w:tcPr>
          <w:p w14:paraId="663A7BC8" w14:textId="77777777" w:rsidR="003D3187" w:rsidRDefault="00000000">
            <w:pPr>
              <w:spacing w:after="0" w:line="259" w:lineRule="auto"/>
              <w:ind w:left="0" w:right="57" w:firstLine="0"/>
              <w:jc w:val="right"/>
            </w:pPr>
            <w:r>
              <w:rPr>
                <w:sz w:val="22"/>
              </w:rPr>
              <w:t xml:space="preserve">0.000 </w:t>
            </w:r>
          </w:p>
        </w:tc>
        <w:tc>
          <w:tcPr>
            <w:tcW w:w="1300" w:type="dxa"/>
            <w:tcBorders>
              <w:top w:val="single" w:sz="4" w:space="0" w:color="000000"/>
              <w:left w:val="single" w:sz="4" w:space="0" w:color="000000"/>
              <w:bottom w:val="single" w:sz="4" w:space="0" w:color="000000"/>
              <w:right w:val="single" w:sz="4" w:space="0" w:color="000000"/>
            </w:tcBorders>
            <w:vAlign w:val="bottom"/>
          </w:tcPr>
          <w:p w14:paraId="6CAB8EE8" w14:textId="77777777" w:rsidR="003D3187" w:rsidRDefault="00000000">
            <w:pPr>
              <w:spacing w:after="0" w:line="259" w:lineRule="auto"/>
              <w:ind w:left="0" w:right="57" w:firstLine="0"/>
              <w:jc w:val="right"/>
            </w:pPr>
            <w:r>
              <w:rPr>
                <w:sz w:val="22"/>
              </w:rPr>
              <w:t xml:space="preserve">(1.150) </w:t>
            </w:r>
          </w:p>
        </w:tc>
      </w:tr>
      <w:tr w:rsidR="003D3187" w14:paraId="30F959BB" w14:textId="77777777">
        <w:trPr>
          <w:trHeight w:val="298"/>
        </w:trPr>
        <w:tc>
          <w:tcPr>
            <w:tcW w:w="1378" w:type="dxa"/>
            <w:tcBorders>
              <w:top w:val="single" w:sz="4" w:space="0" w:color="000000"/>
              <w:left w:val="single" w:sz="4" w:space="0" w:color="000000"/>
              <w:bottom w:val="single" w:sz="4" w:space="0" w:color="000000"/>
              <w:right w:val="single" w:sz="4" w:space="0" w:color="000000"/>
            </w:tcBorders>
          </w:tcPr>
          <w:p w14:paraId="7B150717" w14:textId="77777777" w:rsidR="003D3187" w:rsidRDefault="00000000">
            <w:pPr>
              <w:spacing w:after="0" w:line="259" w:lineRule="auto"/>
              <w:ind w:left="0" w:firstLine="0"/>
            </w:pPr>
            <w:r>
              <w:rPr>
                <w:b/>
                <w:sz w:val="22"/>
              </w:rPr>
              <w:t xml:space="preserve">Total </w:t>
            </w:r>
          </w:p>
        </w:tc>
        <w:tc>
          <w:tcPr>
            <w:tcW w:w="3124" w:type="dxa"/>
            <w:tcBorders>
              <w:top w:val="single" w:sz="4" w:space="0" w:color="000000"/>
              <w:left w:val="single" w:sz="4" w:space="0" w:color="000000"/>
              <w:bottom w:val="single" w:sz="4" w:space="0" w:color="000000"/>
              <w:right w:val="single" w:sz="4" w:space="0" w:color="000000"/>
            </w:tcBorders>
          </w:tcPr>
          <w:p w14:paraId="70BDEF3E" w14:textId="77777777" w:rsidR="003D3187" w:rsidRDefault="00000000">
            <w:pPr>
              <w:spacing w:after="0" w:line="259" w:lineRule="auto"/>
              <w:ind w:left="0" w:firstLine="0"/>
            </w:pPr>
            <w:r>
              <w:rPr>
                <w:b/>
                <w:sz w:val="22"/>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41902153" w14:textId="77777777" w:rsidR="003D3187" w:rsidRDefault="00000000">
            <w:pPr>
              <w:spacing w:after="0" w:line="259" w:lineRule="auto"/>
              <w:ind w:left="0" w:firstLine="0"/>
            </w:pPr>
            <w:r>
              <w:rPr>
                <w:b/>
                <w:sz w:val="22"/>
              </w:rPr>
              <w:t xml:space="preserve">  </w:t>
            </w:r>
          </w:p>
        </w:tc>
        <w:tc>
          <w:tcPr>
            <w:tcW w:w="1036" w:type="dxa"/>
            <w:tcBorders>
              <w:top w:val="single" w:sz="4" w:space="0" w:color="000000"/>
              <w:left w:val="single" w:sz="4" w:space="0" w:color="000000"/>
              <w:bottom w:val="single" w:sz="4" w:space="0" w:color="000000"/>
              <w:right w:val="single" w:sz="4" w:space="0" w:color="000000"/>
            </w:tcBorders>
          </w:tcPr>
          <w:p w14:paraId="515B341C" w14:textId="77777777" w:rsidR="003D3187" w:rsidRDefault="00000000">
            <w:pPr>
              <w:spacing w:after="0" w:line="259" w:lineRule="auto"/>
              <w:ind w:left="103" w:firstLine="0"/>
            </w:pPr>
            <w:r>
              <w:rPr>
                <w:b/>
                <w:sz w:val="22"/>
              </w:rPr>
              <w:t xml:space="preserve">(11.495) </w:t>
            </w:r>
          </w:p>
        </w:tc>
        <w:tc>
          <w:tcPr>
            <w:tcW w:w="1012" w:type="dxa"/>
            <w:tcBorders>
              <w:top w:val="single" w:sz="4" w:space="0" w:color="000000"/>
              <w:left w:val="single" w:sz="4" w:space="0" w:color="000000"/>
              <w:bottom w:val="single" w:sz="4" w:space="0" w:color="000000"/>
              <w:right w:val="single" w:sz="4" w:space="0" w:color="000000"/>
            </w:tcBorders>
          </w:tcPr>
          <w:p w14:paraId="32EAF089" w14:textId="77777777" w:rsidR="003D3187" w:rsidRDefault="00000000">
            <w:pPr>
              <w:spacing w:after="0" w:line="259" w:lineRule="auto"/>
              <w:ind w:left="0" w:right="57" w:firstLine="0"/>
              <w:jc w:val="right"/>
            </w:pPr>
            <w:r>
              <w:rPr>
                <w:b/>
                <w:sz w:val="22"/>
              </w:rPr>
              <w:t xml:space="preserve">(1.468) </w:t>
            </w:r>
          </w:p>
        </w:tc>
        <w:tc>
          <w:tcPr>
            <w:tcW w:w="1012" w:type="dxa"/>
            <w:tcBorders>
              <w:top w:val="single" w:sz="4" w:space="0" w:color="000000"/>
              <w:left w:val="single" w:sz="4" w:space="0" w:color="000000"/>
              <w:bottom w:val="single" w:sz="4" w:space="0" w:color="000000"/>
              <w:right w:val="single" w:sz="4" w:space="0" w:color="000000"/>
            </w:tcBorders>
          </w:tcPr>
          <w:p w14:paraId="7A1A93DA" w14:textId="77777777" w:rsidR="003D3187" w:rsidRDefault="00000000">
            <w:pPr>
              <w:spacing w:after="0" w:line="259" w:lineRule="auto"/>
              <w:ind w:left="0" w:right="57" w:firstLine="0"/>
              <w:jc w:val="right"/>
            </w:pPr>
            <w:r>
              <w:rPr>
                <w:b/>
                <w:sz w:val="22"/>
              </w:rPr>
              <w:t xml:space="preserve">(0.876) </w:t>
            </w:r>
          </w:p>
        </w:tc>
        <w:tc>
          <w:tcPr>
            <w:tcW w:w="1117" w:type="dxa"/>
            <w:tcBorders>
              <w:top w:val="single" w:sz="4" w:space="0" w:color="000000"/>
              <w:left w:val="single" w:sz="4" w:space="0" w:color="000000"/>
              <w:bottom w:val="single" w:sz="4" w:space="0" w:color="000000"/>
              <w:right w:val="single" w:sz="4" w:space="0" w:color="000000"/>
            </w:tcBorders>
          </w:tcPr>
          <w:p w14:paraId="68A71B76" w14:textId="77777777" w:rsidR="003D3187" w:rsidRDefault="00000000">
            <w:pPr>
              <w:spacing w:after="0" w:line="259" w:lineRule="auto"/>
              <w:ind w:left="0" w:right="57" w:firstLine="0"/>
              <w:jc w:val="right"/>
            </w:pPr>
            <w:r>
              <w:rPr>
                <w:b/>
                <w:sz w:val="22"/>
              </w:rPr>
              <w:t xml:space="preserve">1.700 </w:t>
            </w:r>
          </w:p>
        </w:tc>
        <w:tc>
          <w:tcPr>
            <w:tcW w:w="1300" w:type="dxa"/>
            <w:tcBorders>
              <w:top w:val="single" w:sz="4" w:space="0" w:color="000000"/>
              <w:left w:val="single" w:sz="4" w:space="0" w:color="000000"/>
              <w:bottom w:val="single" w:sz="4" w:space="0" w:color="000000"/>
              <w:right w:val="single" w:sz="4" w:space="0" w:color="000000"/>
            </w:tcBorders>
          </w:tcPr>
          <w:p w14:paraId="6DD57513" w14:textId="77777777" w:rsidR="003D3187" w:rsidRDefault="00000000">
            <w:pPr>
              <w:spacing w:after="0" w:line="259" w:lineRule="auto"/>
              <w:ind w:left="0" w:right="57" w:firstLine="0"/>
              <w:jc w:val="right"/>
            </w:pPr>
            <w:r>
              <w:rPr>
                <w:b/>
                <w:sz w:val="22"/>
              </w:rPr>
              <w:t xml:space="preserve">(12.254) </w:t>
            </w:r>
          </w:p>
        </w:tc>
      </w:tr>
    </w:tbl>
    <w:p w14:paraId="68F43046" w14:textId="77777777" w:rsidR="003D3187" w:rsidRDefault="00000000">
      <w:pPr>
        <w:pStyle w:val="Heading2"/>
        <w:ind w:left="-579" w:right="533"/>
      </w:pPr>
      <w:r>
        <w:t xml:space="preserve">Appendix 3: Investments </w:t>
      </w:r>
    </w:p>
    <w:tbl>
      <w:tblPr>
        <w:tblStyle w:val="TableGrid"/>
        <w:tblW w:w="13885" w:type="dxa"/>
        <w:tblInd w:w="-583" w:type="dxa"/>
        <w:tblCellMar>
          <w:top w:w="54" w:type="dxa"/>
          <w:left w:w="14" w:type="dxa"/>
          <w:bottom w:w="0" w:type="dxa"/>
          <w:right w:w="0" w:type="dxa"/>
        </w:tblCellMar>
        <w:tblLook w:val="04A0" w:firstRow="1" w:lastRow="0" w:firstColumn="1" w:lastColumn="0" w:noHBand="0" w:noVBand="1"/>
      </w:tblPr>
      <w:tblGrid>
        <w:gridCol w:w="5523"/>
        <w:gridCol w:w="7371"/>
        <w:gridCol w:w="991"/>
      </w:tblGrid>
      <w:tr w:rsidR="003D3187" w14:paraId="7917D3AE" w14:textId="77777777">
        <w:trPr>
          <w:trHeight w:val="609"/>
        </w:trPr>
        <w:tc>
          <w:tcPr>
            <w:tcW w:w="5523"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7AECE95C" w14:textId="77777777" w:rsidR="003D3187" w:rsidRDefault="00000000">
            <w:pPr>
              <w:spacing w:after="0" w:line="259" w:lineRule="auto"/>
              <w:ind w:left="0" w:firstLine="0"/>
            </w:pPr>
            <w:bookmarkStart w:id="0" w:name="_Hlk213306404"/>
            <w:r>
              <w:rPr>
                <w:b/>
                <w:sz w:val="22"/>
              </w:rPr>
              <w:t xml:space="preserve">Summary </w:t>
            </w:r>
          </w:p>
        </w:tc>
        <w:tc>
          <w:tcPr>
            <w:tcW w:w="7371"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6DC158E4" w14:textId="77777777" w:rsidR="003D3187" w:rsidRDefault="00000000">
            <w:pPr>
              <w:spacing w:after="0" w:line="259" w:lineRule="auto"/>
              <w:ind w:left="1" w:firstLine="0"/>
            </w:pPr>
            <w:r>
              <w:rPr>
                <w:b/>
                <w:sz w:val="22"/>
              </w:rPr>
              <w:t xml:space="preserve">Detail </w:t>
            </w:r>
          </w:p>
        </w:tc>
        <w:tc>
          <w:tcPr>
            <w:tcW w:w="991" w:type="dxa"/>
            <w:tcBorders>
              <w:top w:val="single" w:sz="4" w:space="0" w:color="000000"/>
              <w:left w:val="single" w:sz="4" w:space="0" w:color="000000"/>
              <w:bottom w:val="single" w:sz="4" w:space="0" w:color="000000"/>
              <w:right w:val="single" w:sz="4" w:space="0" w:color="000000"/>
            </w:tcBorders>
            <w:shd w:val="clear" w:color="auto" w:fill="B5E6A2"/>
          </w:tcPr>
          <w:p w14:paraId="2D7C2761" w14:textId="77777777" w:rsidR="003D3187" w:rsidRDefault="00000000">
            <w:pPr>
              <w:spacing w:after="20" w:line="259" w:lineRule="auto"/>
              <w:ind w:left="85" w:firstLine="0"/>
              <w:jc w:val="both"/>
            </w:pPr>
            <w:r>
              <w:rPr>
                <w:b/>
                <w:sz w:val="22"/>
              </w:rPr>
              <w:t xml:space="preserve">2026/27 </w:t>
            </w:r>
          </w:p>
          <w:p w14:paraId="0EFF7428" w14:textId="77777777" w:rsidR="003D3187" w:rsidRDefault="00000000">
            <w:pPr>
              <w:spacing w:after="0" w:line="259" w:lineRule="auto"/>
              <w:ind w:left="0" w:right="13" w:firstLine="0"/>
              <w:jc w:val="center"/>
            </w:pPr>
            <w:r>
              <w:rPr>
                <w:b/>
                <w:sz w:val="22"/>
              </w:rPr>
              <w:t xml:space="preserve">£m </w:t>
            </w:r>
          </w:p>
        </w:tc>
      </w:tr>
      <w:tr w:rsidR="003D3187" w14:paraId="25F129C9" w14:textId="77777777">
        <w:trPr>
          <w:trHeight w:val="1190"/>
        </w:trPr>
        <w:tc>
          <w:tcPr>
            <w:tcW w:w="5523" w:type="dxa"/>
            <w:tcBorders>
              <w:top w:val="single" w:sz="4" w:space="0" w:color="000000"/>
              <w:left w:val="single" w:sz="6" w:space="0" w:color="000000"/>
              <w:bottom w:val="single" w:sz="6" w:space="0" w:color="000000"/>
              <w:right w:val="single" w:sz="6" w:space="0" w:color="000000"/>
            </w:tcBorders>
          </w:tcPr>
          <w:p w14:paraId="2220C069" w14:textId="77777777" w:rsidR="003D3187" w:rsidRDefault="00000000">
            <w:pPr>
              <w:spacing w:after="0" w:line="259" w:lineRule="auto"/>
              <w:ind w:left="0" w:firstLine="0"/>
            </w:pPr>
            <w:r>
              <w:rPr>
                <w:sz w:val="22"/>
              </w:rPr>
              <w:t xml:space="preserve">Strengthening Neighbourhood Safety  </w:t>
            </w:r>
          </w:p>
        </w:tc>
        <w:tc>
          <w:tcPr>
            <w:tcW w:w="7371" w:type="dxa"/>
            <w:tcBorders>
              <w:top w:val="single" w:sz="4" w:space="0" w:color="000000"/>
              <w:left w:val="single" w:sz="6" w:space="0" w:color="000000"/>
              <w:bottom w:val="single" w:sz="6" w:space="0" w:color="000000"/>
              <w:right w:val="single" w:sz="6" w:space="0" w:color="000000"/>
            </w:tcBorders>
          </w:tcPr>
          <w:p w14:paraId="5D823BE8" w14:textId="77777777" w:rsidR="003D3187" w:rsidRDefault="00000000">
            <w:pPr>
              <w:spacing w:after="0" w:line="259" w:lineRule="auto"/>
              <w:ind w:left="1" w:firstLine="0"/>
            </w:pPr>
            <w:r>
              <w:rPr>
                <w:sz w:val="22"/>
              </w:rPr>
              <w:t xml:space="preserve">Strengthening Neighbourhood Safety in our local communities by recruiting an additional eight Neighbourhood Safety Officers, on top of the four that were recruited as part of the Council’s Turning Words Into Action in-year spend. Bringing the total number of newly recruited NSOs to 12.  </w:t>
            </w:r>
          </w:p>
        </w:tc>
        <w:tc>
          <w:tcPr>
            <w:tcW w:w="991" w:type="dxa"/>
            <w:tcBorders>
              <w:top w:val="single" w:sz="4" w:space="0" w:color="000000"/>
              <w:left w:val="single" w:sz="6" w:space="0" w:color="000000"/>
              <w:bottom w:val="single" w:sz="4" w:space="0" w:color="000000"/>
              <w:right w:val="single" w:sz="4" w:space="0" w:color="000000"/>
            </w:tcBorders>
            <w:vAlign w:val="center"/>
          </w:tcPr>
          <w:p w14:paraId="68412339" w14:textId="77777777" w:rsidR="003D3187" w:rsidRDefault="00000000">
            <w:pPr>
              <w:spacing w:after="0" w:line="259" w:lineRule="auto"/>
              <w:ind w:left="0" w:right="13" w:firstLine="0"/>
              <w:jc w:val="center"/>
            </w:pPr>
            <w:r>
              <w:rPr>
                <w:sz w:val="22"/>
              </w:rPr>
              <w:t xml:space="preserve">0.455 </w:t>
            </w:r>
          </w:p>
        </w:tc>
      </w:tr>
      <w:tr w:rsidR="003D3187" w14:paraId="5F20F81A" w14:textId="77777777">
        <w:trPr>
          <w:trHeight w:val="894"/>
        </w:trPr>
        <w:tc>
          <w:tcPr>
            <w:tcW w:w="5523" w:type="dxa"/>
            <w:tcBorders>
              <w:top w:val="single" w:sz="6" w:space="0" w:color="000000"/>
              <w:left w:val="single" w:sz="6" w:space="0" w:color="000000"/>
              <w:bottom w:val="single" w:sz="6" w:space="0" w:color="000000"/>
              <w:right w:val="single" w:sz="6" w:space="0" w:color="000000"/>
            </w:tcBorders>
          </w:tcPr>
          <w:p w14:paraId="2FDCC2F6" w14:textId="77777777" w:rsidR="003D3187" w:rsidRDefault="00000000">
            <w:pPr>
              <w:spacing w:after="0" w:line="259" w:lineRule="auto"/>
              <w:ind w:left="0" w:firstLine="0"/>
            </w:pPr>
            <w:r>
              <w:rPr>
                <w:sz w:val="22"/>
              </w:rPr>
              <w:t xml:space="preserve">Enhancing Street Cleaning  </w:t>
            </w:r>
          </w:p>
        </w:tc>
        <w:tc>
          <w:tcPr>
            <w:tcW w:w="7371" w:type="dxa"/>
            <w:tcBorders>
              <w:top w:val="single" w:sz="6" w:space="0" w:color="000000"/>
              <w:left w:val="single" w:sz="6" w:space="0" w:color="000000"/>
              <w:bottom w:val="single" w:sz="6" w:space="0" w:color="000000"/>
              <w:right w:val="single" w:sz="6" w:space="0" w:color="000000"/>
            </w:tcBorders>
          </w:tcPr>
          <w:p w14:paraId="43302106" w14:textId="77777777" w:rsidR="003D3187" w:rsidRDefault="00000000">
            <w:pPr>
              <w:spacing w:after="0" w:line="259" w:lineRule="auto"/>
              <w:ind w:left="1" w:firstLine="0"/>
            </w:pPr>
            <w:r>
              <w:rPr>
                <w:sz w:val="22"/>
              </w:rPr>
              <w:t xml:space="preserve">Enhancing street cleaning across Nottingham to improve the look and feel in the city and local communities by increasing fly tipping clearance with additional teams and vehicles.   </w:t>
            </w:r>
          </w:p>
        </w:tc>
        <w:tc>
          <w:tcPr>
            <w:tcW w:w="991" w:type="dxa"/>
            <w:tcBorders>
              <w:top w:val="single" w:sz="4" w:space="0" w:color="000000"/>
              <w:left w:val="single" w:sz="6" w:space="0" w:color="000000"/>
              <w:bottom w:val="single" w:sz="4" w:space="0" w:color="000000"/>
              <w:right w:val="single" w:sz="4" w:space="0" w:color="000000"/>
            </w:tcBorders>
            <w:vAlign w:val="center"/>
          </w:tcPr>
          <w:p w14:paraId="286FABDD" w14:textId="77777777" w:rsidR="003D3187" w:rsidRDefault="00000000">
            <w:pPr>
              <w:spacing w:after="0" w:line="259" w:lineRule="auto"/>
              <w:ind w:left="0" w:right="13" w:firstLine="0"/>
              <w:jc w:val="center"/>
            </w:pPr>
            <w:r>
              <w:rPr>
                <w:sz w:val="22"/>
              </w:rPr>
              <w:t xml:space="preserve">0.980 </w:t>
            </w:r>
          </w:p>
        </w:tc>
      </w:tr>
      <w:tr w:rsidR="003D3187" w14:paraId="5689C535" w14:textId="77777777">
        <w:trPr>
          <w:trHeight w:val="601"/>
        </w:trPr>
        <w:tc>
          <w:tcPr>
            <w:tcW w:w="5523" w:type="dxa"/>
            <w:tcBorders>
              <w:top w:val="single" w:sz="6" w:space="0" w:color="000000"/>
              <w:left w:val="single" w:sz="6" w:space="0" w:color="000000"/>
              <w:bottom w:val="single" w:sz="6" w:space="0" w:color="000000"/>
              <w:right w:val="single" w:sz="6" w:space="0" w:color="000000"/>
            </w:tcBorders>
          </w:tcPr>
          <w:p w14:paraId="0EDAEDD7" w14:textId="77777777" w:rsidR="003D3187" w:rsidRDefault="00000000">
            <w:pPr>
              <w:spacing w:after="0" w:line="259" w:lineRule="auto"/>
              <w:ind w:left="0" w:firstLine="0"/>
            </w:pPr>
            <w:r>
              <w:rPr>
                <w:sz w:val="22"/>
              </w:rPr>
              <w:t xml:space="preserve">Intensive Weed Removal  </w:t>
            </w:r>
          </w:p>
        </w:tc>
        <w:tc>
          <w:tcPr>
            <w:tcW w:w="7371" w:type="dxa"/>
            <w:tcBorders>
              <w:top w:val="single" w:sz="6" w:space="0" w:color="000000"/>
              <w:left w:val="single" w:sz="6" w:space="0" w:color="000000"/>
              <w:bottom w:val="single" w:sz="6" w:space="0" w:color="000000"/>
              <w:right w:val="single" w:sz="6" w:space="0" w:color="000000"/>
            </w:tcBorders>
          </w:tcPr>
          <w:p w14:paraId="7FE31643" w14:textId="77777777" w:rsidR="003D3187" w:rsidRDefault="00000000">
            <w:pPr>
              <w:spacing w:after="0" w:line="259" w:lineRule="auto"/>
              <w:ind w:left="1" w:firstLine="0"/>
            </w:pPr>
            <w:r>
              <w:rPr>
                <w:sz w:val="22"/>
              </w:rPr>
              <w:t xml:space="preserve">Intensive Weed Removal by a removing weeds in grot spots across the city.   </w:t>
            </w:r>
          </w:p>
        </w:tc>
        <w:tc>
          <w:tcPr>
            <w:tcW w:w="991" w:type="dxa"/>
            <w:tcBorders>
              <w:top w:val="single" w:sz="4" w:space="0" w:color="000000"/>
              <w:left w:val="single" w:sz="6" w:space="0" w:color="000000"/>
              <w:bottom w:val="single" w:sz="4" w:space="0" w:color="000000"/>
              <w:right w:val="single" w:sz="4" w:space="0" w:color="000000"/>
            </w:tcBorders>
            <w:vAlign w:val="center"/>
          </w:tcPr>
          <w:p w14:paraId="45D9FB48" w14:textId="77777777" w:rsidR="003D3187" w:rsidRDefault="00000000">
            <w:pPr>
              <w:spacing w:after="0" w:line="259" w:lineRule="auto"/>
              <w:ind w:left="0" w:right="13" w:firstLine="0"/>
              <w:jc w:val="center"/>
            </w:pPr>
            <w:r>
              <w:rPr>
                <w:sz w:val="22"/>
              </w:rPr>
              <w:t xml:space="preserve">0.120 </w:t>
            </w:r>
          </w:p>
        </w:tc>
      </w:tr>
      <w:tr w:rsidR="003D3187" w14:paraId="3E863DDB" w14:textId="77777777">
        <w:trPr>
          <w:trHeight w:val="894"/>
        </w:trPr>
        <w:tc>
          <w:tcPr>
            <w:tcW w:w="5523" w:type="dxa"/>
            <w:tcBorders>
              <w:top w:val="single" w:sz="6" w:space="0" w:color="000000"/>
              <w:left w:val="single" w:sz="6" w:space="0" w:color="000000"/>
              <w:bottom w:val="single" w:sz="6" w:space="0" w:color="000000"/>
              <w:right w:val="single" w:sz="6" w:space="0" w:color="000000"/>
            </w:tcBorders>
          </w:tcPr>
          <w:p w14:paraId="7E5F6A1A" w14:textId="77777777" w:rsidR="003D3187" w:rsidRDefault="00000000">
            <w:pPr>
              <w:spacing w:after="0" w:line="259" w:lineRule="auto"/>
              <w:ind w:left="0" w:firstLine="0"/>
            </w:pPr>
            <w:r>
              <w:rPr>
                <w:sz w:val="22"/>
              </w:rPr>
              <w:t xml:space="preserve">Trimming Back Hedges  </w:t>
            </w:r>
          </w:p>
        </w:tc>
        <w:tc>
          <w:tcPr>
            <w:tcW w:w="7371" w:type="dxa"/>
            <w:tcBorders>
              <w:top w:val="single" w:sz="6" w:space="0" w:color="000000"/>
              <w:left w:val="single" w:sz="6" w:space="0" w:color="000000"/>
              <w:bottom w:val="single" w:sz="6" w:space="0" w:color="000000"/>
              <w:right w:val="single" w:sz="6" w:space="0" w:color="000000"/>
            </w:tcBorders>
          </w:tcPr>
          <w:p w14:paraId="2D765E35" w14:textId="77777777" w:rsidR="003D3187" w:rsidRDefault="00000000">
            <w:pPr>
              <w:spacing w:after="0" w:line="259" w:lineRule="auto"/>
              <w:ind w:left="1" w:firstLine="0"/>
            </w:pPr>
            <w:r>
              <w:rPr>
                <w:sz w:val="22"/>
              </w:rPr>
              <w:t xml:space="preserve">Trimming back hedges in local estates and allotments to improve the look of our local communities, support biodiversity and ensure safe and clear public access.    </w:t>
            </w:r>
          </w:p>
        </w:tc>
        <w:tc>
          <w:tcPr>
            <w:tcW w:w="991" w:type="dxa"/>
            <w:tcBorders>
              <w:top w:val="single" w:sz="4" w:space="0" w:color="000000"/>
              <w:left w:val="single" w:sz="6" w:space="0" w:color="000000"/>
              <w:bottom w:val="single" w:sz="4" w:space="0" w:color="000000"/>
              <w:right w:val="single" w:sz="4" w:space="0" w:color="000000"/>
            </w:tcBorders>
            <w:vAlign w:val="center"/>
          </w:tcPr>
          <w:p w14:paraId="3108ED59" w14:textId="77777777" w:rsidR="003D3187" w:rsidRDefault="00000000">
            <w:pPr>
              <w:spacing w:after="0" w:line="259" w:lineRule="auto"/>
              <w:ind w:left="0" w:right="13" w:firstLine="0"/>
              <w:jc w:val="center"/>
            </w:pPr>
            <w:r>
              <w:rPr>
                <w:sz w:val="22"/>
              </w:rPr>
              <w:t xml:space="preserve">0.340 </w:t>
            </w:r>
          </w:p>
        </w:tc>
      </w:tr>
      <w:tr w:rsidR="003D3187" w14:paraId="2607B6FA" w14:textId="77777777">
        <w:trPr>
          <w:trHeight w:val="601"/>
        </w:trPr>
        <w:tc>
          <w:tcPr>
            <w:tcW w:w="5523" w:type="dxa"/>
            <w:tcBorders>
              <w:top w:val="single" w:sz="6" w:space="0" w:color="000000"/>
              <w:left w:val="single" w:sz="6" w:space="0" w:color="000000"/>
              <w:bottom w:val="single" w:sz="6" w:space="0" w:color="000000"/>
              <w:right w:val="single" w:sz="6" w:space="0" w:color="000000"/>
            </w:tcBorders>
          </w:tcPr>
          <w:p w14:paraId="3EFFE22F" w14:textId="77777777" w:rsidR="003D3187" w:rsidRDefault="00000000">
            <w:pPr>
              <w:spacing w:after="0" w:line="259" w:lineRule="auto"/>
              <w:ind w:left="0" w:firstLine="0"/>
            </w:pPr>
            <w:r>
              <w:rPr>
                <w:sz w:val="22"/>
              </w:rPr>
              <w:t xml:space="preserve">Upgrading Our Roads  </w:t>
            </w:r>
          </w:p>
        </w:tc>
        <w:tc>
          <w:tcPr>
            <w:tcW w:w="7371" w:type="dxa"/>
            <w:tcBorders>
              <w:top w:val="single" w:sz="6" w:space="0" w:color="000000"/>
              <w:left w:val="single" w:sz="6" w:space="0" w:color="000000"/>
              <w:bottom w:val="single" w:sz="6" w:space="0" w:color="000000"/>
              <w:right w:val="single" w:sz="6" w:space="0" w:color="000000"/>
            </w:tcBorders>
          </w:tcPr>
          <w:p w14:paraId="799506ED" w14:textId="77777777" w:rsidR="003D3187" w:rsidRDefault="00000000">
            <w:pPr>
              <w:spacing w:after="0" w:line="259" w:lineRule="auto"/>
              <w:ind w:left="1" w:firstLine="0"/>
            </w:pPr>
            <w:r>
              <w:rPr>
                <w:sz w:val="22"/>
              </w:rPr>
              <w:t xml:space="preserve">Upgrading our roads by tackling potholes, refreshing road markings and making local roads safer and fit for purpose.  </w:t>
            </w:r>
          </w:p>
        </w:tc>
        <w:tc>
          <w:tcPr>
            <w:tcW w:w="991" w:type="dxa"/>
            <w:tcBorders>
              <w:top w:val="single" w:sz="4" w:space="0" w:color="000000"/>
              <w:left w:val="single" w:sz="6" w:space="0" w:color="000000"/>
              <w:bottom w:val="single" w:sz="4" w:space="0" w:color="000000"/>
              <w:right w:val="single" w:sz="4" w:space="0" w:color="000000"/>
            </w:tcBorders>
            <w:vAlign w:val="center"/>
          </w:tcPr>
          <w:p w14:paraId="6537BAD7" w14:textId="77777777" w:rsidR="003D3187" w:rsidRDefault="00000000">
            <w:pPr>
              <w:spacing w:after="0" w:line="259" w:lineRule="auto"/>
              <w:ind w:left="0" w:right="13" w:firstLine="0"/>
              <w:jc w:val="center"/>
            </w:pPr>
            <w:r>
              <w:rPr>
                <w:sz w:val="22"/>
              </w:rPr>
              <w:t xml:space="preserve">0.500 </w:t>
            </w:r>
          </w:p>
        </w:tc>
      </w:tr>
      <w:tr w:rsidR="003D3187" w14:paraId="64C6D647" w14:textId="77777777">
        <w:trPr>
          <w:trHeight w:val="894"/>
        </w:trPr>
        <w:tc>
          <w:tcPr>
            <w:tcW w:w="5523" w:type="dxa"/>
            <w:tcBorders>
              <w:top w:val="single" w:sz="6" w:space="0" w:color="000000"/>
              <w:left w:val="single" w:sz="6" w:space="0" w:color="000000"/>
              <w:bottom w:val="single" w:sz="6" w:space="0" w:color="000000"/>
              <w:right w:val="single" w:sz="6" w:space="0" w:color="000000"/>
            </w:tcBorders>
          </w:tcPr>
          <w:p w14:paraId="11036BBE" w14:textId="77777777" w:rsidR="003D3187" w:rsidRDefault="00000000">
            <w:pPr>
              <w:spacing w:after="0" w:line="259" w:lineRule="auto"/>
              <w:ind w:left="0" w:firstLine="0"/>
            </w:pPr>
            <w:r>
              <w:rPr>
                <w:sz w:val="22"/>
              </w:rPr>
              <w:t>S</w:t>
            </w:r>
            <w:r>
              <w:t>upporting Our Volunteers</w:t>
            </w:r>
            <w:r>
              <w:rPr>
                <w:sz w:val="22"/>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4B49001C" w14:textId="77777777" w:rsidR="003D3187" w:rsidRDefault="00000000">
            <w:pPr>
              <w:spacing w:after="20" w:line="259" w:lineRule="auto"/>
              <w:ind w:left="1" w:firstLine="0"/>
            </w:pPr>
            <w:r>
              <w:rPr>
                <w:sz w:val="22"/>
              </w:rPr>
              <w:t xml:space="preserve">Supporting our volunteers by recruiting a Greenspace Volunteer </w:t>
            </w:r>
          </w:p>
          <w:p w14:paraId="4A9612D4" w14:textId="77777777" w:rsidR="003D3187" w:rsidRDefault="00000000">
            <w:pPr>
              <w:spacing w:after="0" w:line="259" w:lineRule="auto"/>
              <w:ind w:left="1" w:firstLine="0"/>
            </w:pPr>
            <w:r>
              <w:rPr>
                <w:sz w:val="22"/>
              </w:rPr>
              <w:t xml:space="preserve">Coordinator to help organise local greenspace volunteer events, promote community engagement and offer advice and support. </w:t>
            </w:r>
          </w:p>
        </w:tc>
        <w:tc>
          <w:tcPr>
            <w:tcW w:w="991" w:type="dxa"/>
            <w:tcBorders>
              <w:top w:val="single" w:sz="4" w:space="0" w:color="000000"/>
              <w:left w:val="single" w:sz="6" w:space="0" w:color="000000"/>
              <w:bottom w:val="single" w:sz="4" w:space="0" w:color="000000"/>
              <w:right w:val="single" w:sz="4" w:space="0" w:color="000000"/>
            </w:tcBorders>
            <w:vAlign w:val="center"/>
          </w:tcPr>
          <w:p w14:paraId="7A5D34FD" w14:textId="77777777" w:rsidR="003D3187" w:rsidRDefault="00000000">
            <w:pPr>
              <w:spacing w:after="0" w:line="259" w:lineRule="auto"/>
              <w:ind w:left="0" w:right="13" w:firstLine="0"/>
              <w:jc w:val="center"/>
            </w:pPr>
            <w:r>
              <w:rPr>
                <w:sz w:val="22"/>
              </w:rPr>
              <w:t xml:space="preserve">0.048 </w:t>
            </w:r>
          </w:p>
        </w:tc>
      </w:tr>
      <w:tr w:rsidR="003D3187" w14:paraId="402BF298" w14:textId="77777777">
        <w:trPr>
          <w:trHeight w:val="894"/>
        </w:trPr>
        <w:tc>
          <w:tcPr>
            <w:tcW w:w="5523" w:type="dxa"/>
            <w:tcBorders>
              <w:top w:val="single" w:sz="6" w:space="0" w:color="000000"/>
              <w:left w:val="single" w:sz="6" w:space="0" w:color="000000"/>
              <w:bottom w:val="single" w:sz="6" w:space="0" w:color="000000"/>
              <w:right w:val="single" w:sz="6" w:space="0" w:color="000000"/>
            </w:tcBorders>
          </w:tcPr>
          <w:p w14:paraId="3B17521C" w14:textId="77777777" w:rsidR="003D3187" w:rsidRDefault="00000000">
            <w:pPr>
              <w:spacing w:after="0" w:line="259" w:lineRule="auto"/>
              <w:ind w:left="0" w:firstLine="0"/>
            </w:pPr>
            <w:r>
              <w:rPr>
                <w:sz w:val="22"/>
              </w:rPr>
              <w:t xml:space="preserve">Topping Up Park Maintenance   </w:t>
            </w:r>
          </w:p>
        </w:tc>
        <w:tc>
          <w:tcPr>
            <w:tcW w:w="7371" w:type="dxa"/>
            <w:tcBorders>
              <w:top w:val="single" w:sz="6" w:space="0" w:color="000000"/>
              <w:left w:val="single" w:sz="6" w:space="0" w:color="000000"/>
              <w:bottom w:val="single" w:sz="6" w:space="0" w:color="000000"/>
              <w:right w:val="single" w:sz="6" w:space="0" w:color="000000"/>
            </w:tcBorders>
          </w:tcPr>
          <w:p w14:paraId="08B5E0BB" w14:textId="77777777" w:rsidR="003D3187" w:rsidRDefault="00000000">
            <w:pPr>
              <w:spacing w:after="0" w:line="259" w:lineRule="auto"/>
              <w:ind w:left="1" w:firstLine="0"/>
            </w:pPr>
            <w:r>
              <w:rPr>
                <w:sz w:val="22"/>
              </w:rPr>
              <w:t xml:space="preserve">Topping up park maintenance for day to day improvements for local parks to ensure a good standard across the city, so every child can have access to a good and safe local park.  </w:t>
            </w:r>
          </w:p>
        </w:tc>
        <w:tc>
          <w:tcPr>
            <w:tcW w:w="991" w:type="dxa"/>
            <w:tcBorders>
              <w:top w:val="single" w:sz="4" w:space="0" w:color="000000"/>
              <w:left w:val="single" w:sz="6" w:space="0" w:color="000000"/>
              <w:bottom w:val="single" w:sz="4" w:space="0" w:color="000000"/>
              <w:right w:val="single" w:sz="4" w:space="0" w:color="000000"/>
            </w:tcBorders>
            <w:vAlign w:val="center"/>
          </w:tcPr>
          <w:p w14:paraId="447B1045" w14:textId="77777777" w:rsidR="003D3187" w:rsidRDefault="00000000">
            <w:pPr>
              <w:spacing w:after="0" w:line="259" w:lineRule="auto"/>
              <w:ind w:left="0" w:right="13" w:firstLine="0"/>
              <w:jc w:val="center"/>
            </w:pPr>
            <w:r>
              <w:rPr>
                <w:sz w:val="22"/>
              </w:rPr>
              <w:t xml:space="preserve">0.120 </w:t>
            </w:r>
          </w:p>
        </w:tc>
      </w:tr>
      <w:tr w:rsidR="003D3187" w14:paraId="17A3745F" w14:textId="77777777">
        <w:trPr>
          <w:trHeight w:val="894"/>
        </w:trPr>
        <w:tc>
          <w:tcPr>
            <w:tcW w:w="5523" w:type="dxa"/>
            <w:tcBorders>
              <w:top w:val="single" w:sz="6" w:space="0" w:color="000000"/>
              <w:left w:val="single" w:sz="6" w:space="0" w:color="000000"/>
              <w:bottom w:val="single" w:sz="6" w:space="0" w:color="000000"/>
              <w:right w:val="single" w:sz="6" w:space="0" w:color="000000"/>
            </w:tcBorders>
          </w:tcPr>
          <w:p w14:paraId="71068EA7" w14:textId="77777777" w:rsidR="003D3187" w:rsidRDefault="00000000">
            <w:pPr>
              <w:spacing w:after="0" w:line="259" w:lineRule="auto"/>
              <w:ind w:left="0" w:firstLine="0"/>
            </w:pPr>
            <w:r>
              <w:rPr>
                <w:sz w:val="22"/>
              </w:rPr>
              <w:t xml:space="preserve">Protecting Healthy Trees  </w:t>
            </w:r>
          </w:p>
        </w:tc>
        <w:tc>
          <w:tcPr>
            <w:tcW w:w="7371" w:type="dxa"/>
            <w:tcBorders>
              <w:top w:val="single" w:sz="6" w:space="0" w:color="000000"/>
              <w:left w:val="single" w:sz="6" w:space="0" w:color="000000"/>
              <w:bottom w:val="single" w:sz="6" w:space="0" w:color="000000"/>
              <w:right w:val="single" w:sz="6" w:space="0" w:color="000000"/>
            </w:tcBorders>
          </w:tcPr>
          <w:p w14:paraId="239B89EA" w14:textId="77777777" w:rsidR="003D3187" w:rsidRDefault="00000000">
            <w:pPr>
              <w:spacing w:after="0" w:line="259" w:lineRule="auto"/>
              <w:ind w:left="1" w:firstLine="0"/>
            </w:pPr>
            <w:r>
              <w:rPr>
                <w:sz w:val="22"/>
              </w:rPr>
              <w:t xml:space="preserve">Protecting healthy trees by targeting overgrown and unsafe trees on footpaths and highways, ensuring safe and clear public access while protecting perfectly healthy trees.   </w:t>
            </w:r>
          </w:p>
        </w:tc>
        <w:tc>
          <w:tcPr>
            <w:tcW w:w="991" w:type="dxa"/>
            <w:tcBorders>
              <w:top w:val="single" w:sz="4" w:space="0" w:color="000000"/>
              <w:left w:val="single" w:sz="6" w:space="0" w:color="000000"/>
              <w:bottom w:val="single" w:sz="4" w:space="0" w:color="000000"/>
              <w:right w:val="single" w:sz="4" w:space="0" w:color="000000"/>
            </w:tcBorders>
            <w:vAlign w:val="center"/>
          </w:tcPr>
          <w:p w14:paraId="2106A98E" w14:textId="77777777" w:rsidR="003D3187" w:rsidRDefault="00000000">
            <w:pPr>
              <w:spacing w:after="0" w:line="259" w:lineRule="auto"/>
              <w:ind w:left="0" w:right="13" w:firstLine="0"/>
              <w:jc w:val="center"/>
            </w:pPr>
            <w:r>
              <w:rPr>
                <w:sz w:val="22"/>
              </w:rPr>
              <w:t xml:space="preserve">0.100 </w:t>
            </w:r>
          </w:p>
        </w:tc>
      </w:tr>
      <w:tr w:rsidR="003D3187" w14:paraId="36A028C2" w14:textId="77777777">
        <w:trPr>
          <w:trHeight w:val="901"/>
        </w:trPr>
        <w:tc>
          <w:tcPr>
            <w:tcW w:w="5523" w:type="dxa"/>
            <w:tcBorders>
              <w:top w:val="nil"/>
              <w:left w:val="single" w:sz="6" w:space="0" w:color="000000"/>
              <w:bottom w:val="single" w:sz="6" w:space="0" w:color="000000"/>
              <w:right w:val="single" w:sz="6" w:space="0" w:color="000000"/>
            </w:tcBorders>
          </w:tcPr>
          <w:p w14:paraId="74B4146F" w14:textId="77777777" w:rsidR="003D3187" w:rsidRDefault="00000000">
            <w:pPr>
              <w:spacing w:after="0" w:line="259" w:lineRule="auto"/>
              <w:ind w:left="0" w:firstLine="0"/>
            </w:pPr>
            <w:r>
              <w:rPr>
                <w:sz w:val="22"/>
              </w:rPr>
              <w:t xml:space="preserve">Revamping Parks for People  </w:t>
            </w:r>
          </w:p>
        </w:tc>
        <w:tc>
          <w:tcPr>
            <w:tcW w:w="7371" w:type="dxa"/>
            <w:tcBorders>
              <w:top w:val="nil"/>
              <w:left w:val="single" w:sz="6" w:space="0" w:color="000000"/>
              <w:bottom w:val="single" w:sz="6" w:space="0" w:color="000000"/>
              <w:right w:val="single" w:sz="6" w:space="0" w:color="000000"/>
            </w:tcBorders>
          </w:tcPr>
          <w:p w14:paraId="3B80E1CE" w14:textId="77777777" w:rsidR="003D3187" w:rsidRDefault="00000000">
            <w:pPr>
              <w:spacing w:after="0" w:line="259" w:lineRule="auto"/>
              <w:ind w:left="1" w:firstLine="0"/>
            </w:pPr>
            <w:r>
              <w:rPr>
                <w:sz w:val="22"/>
              </w:rPr>
              <w:t xml:space="preserve">Revamping parks for people by recruiting more Playground Inspectors and Park Rangers, as part of a £3m investment programme to upgrade and enhance our local parks across Nottingham.  </w:t>
            </w:r>
          </w:p>
        </w:tc>
        <w:tc>
          <w:tcPr>
            <w:tcW w:w="991" w:type="dxa"/>
            <w:tcBorders>
              <w:top w:val="nil"/>
              <w:left w:val="single" w:sz="6" w:space="0" w:color="000000"/>
              <w:bottom w:val="single" w:sz="4" w:space="0" w:color="000000"/>
              <w:right w:val="single" w:sz="4" w:space="0" w:color="000000"/>
            </w:tcBorders>
            <w:vAlign w:val="center"/>
          </w:tcPr>
          <w:p w14:paraId="5A6382DC" w14:textId="77777777" w:rsidR="003D3187" w:rsidRDefault="00000000">
            <w:pPr>
              <w:spacing w:after="0" w:line="259" w:lineRule="auto"/>
              <w:ind w:left="0" w:right="13" w:firstLine="0"/>
              <w:jc w:val="center"/>
            </w:pPr>
            <w:r>
              <w:rPr>
                <w:sz w:val="22"/>
              </w:rPr>
              <w:t xml:space="preserve">0.076 </w:t>
            </w:r>
          </w:p>
        </w:tc>
      </w:tr>
      <w:tr w:rsidR="003D3187" w14:paraId="44BEF1B3" w14:textId="77777777">
        <w:trPr>
          <w:trHeight w:val="894"/>
        </w:trPr>
        <w:tc>
          <w:tcPr>
            <w:tcW w:w="5523" w:type="dxa"/>
            <w:tcBorders>
              <w:top w:val="single" w:sz="6" w:space="0" w:color="000000"/>
              <w:left w:val="single" w:sz="6" w:space="0" w:color="000000"/>
              <w:bottom w:val="single" w:sz="6" w:space="0" w:color="000000"/>
              <w:right w:val="single" w:sz="6" w:space="0" w:color="000000"/>
            </w:tcBorders>
          </w:tcPr>
          <w:p w14:paraId="39487777" w14:textId="77777777" w:rsidR="003D3187" w:rsidRDefault="00000000">
            <w:pPr>
              <w:spacing w:after="0" w:line="259" w:lineRule="auto"/>
              <w:ind w:left="0" w:firstLine="0"/>
            </w:pPr>
            <w:r>
              <w:rPr>
                <w:sz w:val="22"/>
              </w:rPr>
              <w:t xml:space="preserve">Enriching Our Local Communities   </w:t>
            </w:r>
          </w:p>
        </w:tc>
        <w:tc>
          <w:tcPr>
            <w:tcW w:w="7371" w:type="dxa"/>
            <w:tcBorders>
              <w:top w:val="single" w:sz="6" w:space="0" w:color="000000"/>
              <w:left w:val="single" w:sz="6" w:space="0" w:color="000000"/>
              <w:bottom w:val="single" w:sz="6" w:space="0" w:color="000000"/>
              <w:right w:val="single" w:sz="6" w:space="0" w:color="000000"/>
            </w:tcBorders>
          </w:tcPr>
          <w:p w14:paraId="2C1BD3AB" w14:textId="77777777" w:rsidR="003D3187" w:rsidRDefault="00000000">
            <w:pPr>
              <w:spacing w:after="0" w:line="259" w:lineRule="auto"/>
              <w:ind w:left="1" w:firstLine="0"/>
            </w:pPr>
            <w:r>
              <w:rPr>
                <w:sz w:val="22"/>
              </w:rPr>
              <w:t xml:space="preserve">Enriching our local communities by setting up Community Grants in each of the twenty wards in the city, so local Councillors can support ward based activity, cohesion and development directly in our communities.  </w:t>
            </w:r>
          </w:p>
        </w:tc>
        <w:tc>
          <w:tcPr>
            <w:tcW w:w="991" w:type="dxa"/>
            <w:tcBorders>
              <w:top w:val="single" w:sz="4" w:space="0" w:color="000000"/>
              <w:left w:val="single" w:sz="6" w:space="0" w:color="000000"/>
              <w:bottom w:val="single" w:sz="4" w:space="0" w:color="000000"/>
              <w:right w:val="single" w:sz="4" w:space="0" w:color="000000"/>
            </w:tcBorders>
            <w:vAlign w:val="center"/>
          </w:tcPr>
          <w:p w14:paraId="42940CE1" w14:textId="77777777" w:rsidR="003D3187" w:rsidRDefault="00000000">
            <w:pPr>
              <w:spacing w:after="0" w:line="259" w:lineRule="auto"/>
              <w:ind w:left="0" w:right="13" w:firstLine="0"/>
              <w:jc w:val="center"/>
            </w:pPr>
            <w:r>
              <w:rPr>
                <w:sz w:val="22"/>
              </w:rPr>
              <w:t xml:space="preserve">0.183 </w:t>
            </w:r>
          </w:p>
        </w:tc>
      </w:tr>
      <w:tr w:rsidR="003D3187" w14:paraId="5526F6E0" w14:textId="77777777">
        <w:trPr>
          <w:trHeight w:val="894"/>
        </w:trPr>
        <w:tc>
          <w:tcPr>
            <w:tcW w:w="5523" w:type="dxa"/>
            <w:tcBorders>
              <w:top w:val="single" w:sz="6" w:space="0" w:color="000000"/>
              <w:left w:val="single" w:sz="6" w:space="0" w:color="000000"/>
              <w:bottom w:val="single" w:sz="6" w:space="0" w:color="000000"/>
              <w:right w:val="single" w:sz="6" w:space="0" w:color="000000"/>
            </w:tcBorders>
          </w:tcPr>
          <w:p w14:paraId="6C4B3152" w14:textId="77777777" w:rsidR="003D3187" w:rsidRDefault="00000000">
            <w:pPr>
              <w:spacing w:after="0" w:line="259" w:lineRule="auto"/>
              <w:ind w:left="0" w:firstLine="0"/>
            </w:pPr>
            <w:r>
              <w:rPr>
                <w:sz w:val="22"/>
              </w:rPr>
              <w:t xml:space="preserve">Empowering Local People   </w:t>
            </w:r>
          </w:p>
          <w:p w14:paraId="1BB01A11" w14:textId="77777777" w:rsidR="003D3187" w:rsidRDefault="00000000">
            <w:pPr>
              <w:spacing w:after="0" w:line="259" w:lineRule="auto"/>
              <w:ind w:left="0" w:firstLine="0"/>
            </w:pPr>
            <w:r>
              <w:rPr>
                <w:sz w:val="22"/>
              </w:rPr>
              <w:t xml:space="preserve">Through Place Based Partnerships  </w:t>
            </w:r>
          </w:p>
        </w:tc>
        <w:tc>
          <w:tcPr>
            <w:tcW w:w="7371" w:type="dxa"/>
            <w:tcBorders>
              <w:top w:val="single" w:sz="6" w:space="0" w:color="000000"/>
              <w:left w:val="single" w:sz="6" w:space="0" w:color="000000"/>
              <w:bottom w:val="single" w:sz="6" w:space="0" w:color="000000"/>
              <w:right w:val="single" w:sz="6" w:space="0" w:color="000000"/>
            </w:tcBorders>
          </w:tcPr>
          <w:p w14:paraId="4DE4BAA4" w14:textId="77777777" w:rsidR="003D3187" w:rsidRDefault="00000000">
            <w:pPr>
              <w:spacing w:after="0" w:line="259" w:lineRule="auto"/>
              <w:ind w:left="1" w:firstLine="0"/>
            </w:pPr>
            <w:r>
              <w:rPr>
                <w:sz w:val="22"/>
              </w:rPr>
              <w:t xml:space="preserve">Empowering local people through Placed Based Partnerships, giving Councillors and local people the forum, power and money to shape their local communities for the better.   </w:t>
            </w:r>
          </w:p>
        </w:tc>
        <w:tc>
          <w:tcPr>
            <w:tcW w:w="991" w:type="dxa"/>
            <w:tcBorders>
              <w:top w:val="single" w:sz="4" w:space="0" w:color="000000"/>
              <w:left w:val="single" w:sz="6" w:space="0" w:color="000000"/>
              <w:bottom w:val="single" w:sz="4" w:space="0" w:color="000000"/>
              <w:right w:val="single" w:sz="4" w:space="0" w:color="000000"/>
            </w:tcBorders>
            <w:vAlign w:val="center"/>
          </w:tcPr>
          <w:p w14:paraId="5AD915D2" w14:textId="77777777" w:rsidR="003D3187" w:rsidRDefault="00000000">
            <w:pPr>
              <w:spacing w:after="0" w:line="259" w:lineRule="auto"/>
              <w:ind w:left="0" w:right="13" w:firstLine="0"/>
              <w:jc w:val="center"/>
            </w:pPr>
            <w:r>
              <w:rPr>
                <w:sz w:val="22"/>
              </w:rPr>
              <w:t xml:space="preserve">0.202 </w:t>
            </w:r>
          </w:p>
        </w:tc>
      </w:tr>
      <w:tr w:rsidR="003D3187" w14:paraId="28FD2417" w14:textId="77777777">
        <w:trPr>
          <w:trHeight w:val="894"/>
        </w:trPr>
        <w:tc>
          <w:tcPr>
            <w:tcW w:w="5523" w:type="dxa"/>
            <w:tcBorders>
              <w:top w:val="single" w:sz="6" w:space="0" w:color="000000"/>
              <w:left w:val="single" w:sz="6" w:space="0" w:color="000000"/>
              <w:bottom w:val="single" w:sz="6" w:space="0" w:color="000000"/>
              <w:right w:val="single" w:sz="6" w:space="0" w:color="000000"/>
            </w:tcBorders>
          </w:tcPr>
          <w:p w14:paraId="52D9C431" w14:textId="77777777" w:rsidR="003D3187" w:rsidRDefault="00000000">
            <w:pPr>
              <w:spacing w:after="0" w:line="259" w:lineRule="auto"/>
              <w:ind w:left="0" w:firstLine="0"/>
            </w:pPr>
            <w:r>
              <w:rPr>
                <w:sz w:val="22"/>
              </w:rPr>
              <w:t xml:space="preserve">Regenerating Nottingham  </w:t>
            </w:r>
          </w:p>
        </w:tc>
        <w:tc>
          <w:tcPr>
            <w:tcW w:w="7371" w:type="dxa"/>
            <w:tcBorders>
              <w:top w:val="single" w:sz="6" w:space="0" w:color="000000"/>
              <w:left w:val="single" w:sz="6" w:space="0" w:color="000000"/>
              <w:bottom w:val="single" w:sz="6" w:space="0" w:color="000000"/>
              <w:right w:val="single" w:sz="6" w:space="0" w:color="000000"/>
            </w:tcBorders>
          </w:tcPr>
          <w:p w14:paraId="07487D52" w14:textId="77777777" w:rsidR="003D3187" w:rsidRDefault="00000000">
            <w:pPr>
              <w:spacing w:after="0" w:line="259" w:lineRule="auto"/>
              <w:ind w:left="1" w:firstLine="0"/>
            </w:pPr>
            <w:r>
              <w:rPr>
                <w:sz w:val="22"/>
              </w:rPr>
              <w:t xml:space="preserve">Regenerating Nottingham by creating a new function in the Council that will design plans to enhance, reshape and lead the city forward by securing national and regional funding to achieve our local goals.  </w:t>
            </w:r>
          </w:p>
        </w:tc>
        <w:tc>
          <w:tcPr>
            <w:tcW w:w="991" w:type="dxa"/>
            <w:tcBorders>
              <w:top w:val="single" w:sz="4" w:space="0" w:color="000000"/>
              <w:left w:val="single" w:sz="6" w:space="0" w:color="000000"/>
              <w:bottom w:val="single" w:sz="4" w:space="0" w:color="000000"/>
              <w:right w:val="single" w:sz="4" w:space="0" w:color="000000"/>
            </w:tcBorders>
            <w:vAlign w:val="center"/>
          </w:tcPr>
          <w:p w14:paraId="02FC6D63" w14:textId="77777777" w:rsidR="003D3187" w:rsidRDefault="00000000">
            <w:pPr>
              <w:spacing w:after="0" w:line="259" w:lineRule="auto"/>
              <w:ind w:left="0" w:right="13" w:firstLine="0"/>
              <w:jc w:val="center"/>
            </w:pPr>
            <w:r>
              <w:rPr>
                <w:sz w:val="22"/>
              </w:rPr>
              <w:t xml:space="preserve">0.400 </w:t>
            </w:r>
          </w:p>
        </w:tc>
      </w:tr>
      <w:tr w:rsidR="003D3187" w14:paraId="5EBC6280" w14:textId="77777777">
        <w:trPr>
          <w:trHeight w:val="823"/>
        </w:trPr>
        <w:tc>
          <w:tcPr>
            <w:tcW w:w="5523" w:type="dxa"/>
            <w:tcBorders>
              <w:top w:val="single" w:sz="6" w:space="0" w:color="000000"/>
              <w:left w:val="single" w:sz="6" w:space="0" w:color="000000"/>
              <w:bottom w:val="single" w:sz="6" w:space="0" w:color="000000"/>
              <w:right w:val="single" w:sz="6" w:space="0" w:color="000000"/>
            </w:tcBorders>
          </w:tcPr>
          <w:p w14:paraId="125E57E2" w14:textId="77777777" w:rsidR="003D3187" w:rsidRDefault="00000000">
            <w:pPr>
              <w:spacing w:after="0" w:line="259" w:lineRule="auto"/>
              <w:ind w:left="0" w:firstLine="0"/>
            </w:pPr>
            <w:r>
              <w:rPr>
                <w:sz w:val="22"/>
              </w:rPr>
              <w:t xml:space="preserve">Managing Our Buildings Better  </w:t>
            </w:r>
          </w:p>
        </w:tc>
        <w:tc>
          <w:tcPr>
            <w:tcW w:w="7371" w:type="dxa"/>
            <w:tcBorders>
              <w:top w:val="single" w:sz="6" w:space="0" w:color="000000"/>
              <w:left w:val="single" w:sz="6" w:space="0" w:color="000000"/>
              <w:bottom w:val="single" w:sz="6" w:space="0" w:color="000000"/>
              <w:right w:val="single" w:sz="6" w:space="0" w:color="000000"/>
            </w:tcBorders>
          </w:tcPr>
          <w:p w14:paraId="485E3532" w14:textId="77777777" w:rsidR="003D3187" w:rsidRDefault="00000000">
            <w:pPr>
              <w:spacing w:after="0" w:line="259" w:lineRule="auto"/>
              <w:ind w:left="1" w:firstLine="0"/>
            </w:pPr>
            <w:r>
              <w:rPr>
                <w:sz w:val="22"/>
              </w:rPr>
              <w:t xml:space="preserve">Managing our buildings better by improving the service for commercial tenants, managing our occupied and vacant buildings better and selling those that do not give the Nottingham tax payer value for money. </w:t>
            </w:r>
          </w:p>
        </w:tc>
        <w:tc>
          <w:tcPr>
            <w:tcW w:w="991" w:type="dxa"/>
            <w:tcBorders>
              <w:top w:val="single" w:sz="4" w:space="0" w:color="000000"/>
              <w:left w:val="single" w:sz="6" w:space="0" w:color="000000"/>
              <w:bottom w:val="single" w:sz="4" w:space="0" w:color="000000"/>
              <w:right w:val="single" w:sz="4" w:space="0" w:color="000000"/>
            </w:tcBorders>
            <w:vAlign w:val="center"/>
          </w:tcPr>
          <w:p w14:paraId="612B8C90" w14:textId="77777777" w:rsidR="003D3187" w:rsidRDefault="00000000">
            <w:pPr>
              <w:spacing w:after="0" w:line="259" w:lineRule="auto"/>
              <w:ind w:left="0" w:right="13" w:firstLine="0"/>
              <w:jc w:val="center"/>
            </w:pPr>
            <w:r>
              <w:rPr>
                <w:sz w:val="22"/>
              </w:rPr>
              <w:t xml:space="preserve">0.277 </w:t>
            </w:r>
          </w:p>
        </w:tc>
      </w:tr>
      <w:tr w:rsidR="003D3187" w14:paraId="2479B434" w14:textId="77777777">
        <w:trPr>
          <w:trHeight w:val="601"/>
        </w:trPr>
        <w:tc>
          <w:tcPr>
            <w:tcW w:w="5523" w:type="dxa"/>
            <w:tcBorders>
              <w:top w:val="single" w:sz="6" w:space="0" w:color="000000"/>
              <w:left w:val="single" w:sz="6" w:space="0" w:color="000000"/>
              <w:bottom w:val="single" w:sz="6" w:space="0" w:color="000000"/>
              <w:right w:val="single" w:sz="6" w:space="0" w:color="000000"/>
            </w:tcBorders>
          </w:tcPr>
          <w:p w14:paraId="7C1BC1CE" w14:textId="77777777" w:rsidR="003D3187" w:rsidRDefault="00000000">
            <w:pPr>
              <w:spacing w:after="0" w:line="259" w:lineRule="auto"/>
              <w:ind w:left="0" w:firstLine="0"/>
            </w:pPr>
            <w:r>
              <w:rPr>
                <w:sz w:val="22"/>
              </w:rPr>
              <w:t xml:space="preserve">Investing In Our Buildings  </w:t>
            </w:r>
          </w:p>
        </w:tc>
        <w:tc>
          <w:tcPr>
            <w:tcW w:w="7371" w:type="dxa"/>
            <w:tcBorders>
              <w:top w:val="single" w:sz="6" w:space="0" w:color="000000"/>
              <w:left w:val="single" w:sz="6" w:space="0" w:color="000000"/>
              <w:bottom w:val="single" w:sz="6" w:space="0" w:color="000000"/>
              <w:right w:val="single" w:sz="6" w:space="0" w:color="000000"/>
            </w:tcBorders>
          </w:tcPr>
          <w:p w14:paraId="4FE6FEF6" w14:textId="77777777" w:rsidR="003D3187" w:rsidRDefault="00000000">
            <w:pPr>
              <w:spacing w:after="0" w:line="259" w:lineRule="auto"/>
              <w:ind w:left="1" w:firstLine="0"/>
            </w:pPr>
            <w:r>
              <w:rPr>
                <w:sz w:val="22"/>
              </w:rPr>
              <w:t xml:space="preserve">Investing in our buildings with a new repairs and maintenance fund so Council premises used by local people are safe and fit for purpose.   </w:t>
            </w:r>
          </w:p>
        </w:tc>
        <w:tc>
          <w:tcPr>
            <w:tcW w:w="991" w:type="dxa"/>
            <w:tcBorders>
              <w:top w:val="single" w:sz="4" w:space="0" w:color="000000"/>
              <w:left w:val="single" w:sz="6" w:space="0" w:color="000000"/>
              <w:bottom w:val="single" w:sz="4" w:space="0" w:color="000000"/>
              <w:right w:val="single" w:sz="4" w:space="0" w:color="000000"/>
            </w:tcBorders>
            <w:vAlign w:val="center"/>
          </w:tcPr>
          <w:p w14:paraId="6BCFF869" w14:textId="77777777" w:rsidR="003D3187" w:rsidRDefault="00000000">
            <w:pPr>
              <w:spacing w:after="0" w:line="259" w:lineRule="auto"/>
              <w:ind w:left="0" w:right="13" w:firstLine="0"/>
              <w:jc w:val="center"/>
            </w:pPr>
            <w:r>
              <w:rPr>
                <w:sz w:val="22"/>
              </w:rPr>
              <w:t xml:space="preserve">0.473 </w:t>
            </w:r>
          </w:p>
        </w:tc>
      </w:tr>
      <w:tr w:rsidR="003D3187" w14:paraId="66EFF134" w14:textId="77777777">
        <w:trPr>
          <w:trHeight w:val="893"/>
        </w:trPr>
        <w:tc>
          <w:tcPr>
            <w:tcW w:w="5523" w:type="dxa"/>
            <w:tcBorders>
              <w:top w:val="single" w:sz="6" w:space="0" w:color="000000"/>
              <w:left w:val="single" w:sz="6" w:space="0" w:color="000000"/>
              <w:bottom w:val="single" w:sz="6" w:space="0" w:color="000000"/>
              <w:right w:val="single" w:sz="6" w:space="0" w:color="000000"/>
            </w:tcBorders>
          </w:tcPr>
          <w:p w14:paraId="6C0303A2" w14:textId="77777777" w:rsidR="003D3187" w:rsidRDefault="00000000">
            <w:pPr>
              <w:spacing w:after="0" w:line="259" w:lineRule="auto"/>
              <w:ind w:left="0" w:firstLine="0"/>
            </w:pPr>
            <w:r>
              <w:rPr>
                <w:sz w:val="22"/>
              </w:rPr>
              <w:t xml:space="preserve">Ensuring Strong Service Performance   </w:t>
            </w:r>
          </w:p>
        </w:tc>
        <w:tc>
          <w:tcPr>
            <w:tcW w:w="7371" w:type="dxa"/>
            <w:tcBorders>
              <w:top w:val="single" w:sz="6" w:space="0" w:color="000000"/>
              <w:left w:val="single" w:sz="6" w:space="0" w:color="000000"/>
              <w:bottom w:val="single" w:sz="6" w:space="0" w:color="000000"/>
              <w:right w:val="single" w:sz="6" w:space="0" w:color="000000"/>
            </w:tcBorders>
          </w:tcPr>
          <w:p w14:paraId="4AAF4866" w14:textId="77777777" w:rsidR="003D3187" w:rsidRDefault="00000000">
            <w:pPr>
              <w:spacing w:after="0" w:line="259" w:lineRule="auto"/>
              <w:ind w:left="1" w:firstLine="0"/>
            </w:pPr>
            <w:r>
              <w:rPr>
                <w:sz w:val="22"/>
              </w:rPr>
              <w:t xml:space="preserve">Ensuring strong service performance for tax-payers by strengthening the Council’s performance monitoring to drive improvement and better outcomes for service users.  </w:t>
            </w:r>
          </w:p>
        </w:tc>
        <w:tc>
          <w:tcPr>
            <w:tcW w:w="991" w:type="dxa"/>
            <w:tcBorders>
              <w:top w:val="single" w:sz="4" w:space="0" w:color="000000"/>
              <w:left w:val="single" w:sz="6" w:space="0" w:color="000000"/>
              <w:bottom w:val="single" w:sz="4" w:space="0" w:color="000000"/>
              <w:right w:val="single" w:sz="4" w:space="0" w:color="000000"/>
            </w:tcBorders>
            <w:vAlign w:val="center"/>
          </w:tcPr>
          <w:p w14:paraId="41795648" w14:textId="77777777" w:rsidR="003D3187" w:rsidRDefault="00000000">
            <w:pPr>
              <w:spacing w:after="0" w:line="259" w:lineRule="auto"/>
              <w:ind w:left="0" w:right="13" w:firstLine="0"/>
              <w:jc w:val="center"/>
            </w:pPr>
            <w:r>
              <w:rPr>
                <w:sz w:val="22"/>
              </w:rPr>
              <w:t xml:space="preserve">0.325 </w:t>
            </w:r>
          </w:p>
        </w:tc>
      </w:tr>
      <w:tr w:rsidR="003D3187" w14:paraId="170430CA" w14:textId="77777777">
        <w:trPr>
          <w:trHeight w:val="306"/>
        </w:trPr>
        <w:tc>
          <w:tcPr>
            <w:tcW w:w="5523" w:type="dxa"/>
            <w:tcBorders>
              <w:top w:val="single" w:sz="6" w:space="0" w:color="000000"/>
              <w:left w:val="single" w:sz="4" w:space="0" w:color="000000"/>
              <w:bottom w:val="single" w:sz="4" w:space="0" w:color="000000"/>
              <w:right w:val="single" w:sz="4" w:space="0" w:color="000000"/>
            </w:tcBorders>
            <w:shd w:val="clear" w:color="auto" w:fill="B5E6A2"/>
          </w:tcPr>
          <w:p w14:paraId="1E054B0F" w14:textId="77777777" w:rsidR="003D3187" w:rsidRDefault="00000000">
            <w:pPr>
              <w:spacing w:after="0" w:line="259" w:lineRule="auto"/>
              <w:ind w:left="0" w:firstLine="0"/>
            </w:pPr>
            <w:r>
              <w:rPr>
                <w:b/>
                <w:sz w:val="22"/>
              </w:rPr>
              <w:t xml:space="preserve">Total </w:t>
            </w:r>
          </w:p>
        </w:tc>
        <w:tc>
          <w:tcPr>
            <w:tcW w:w="7371" w:type="dxa"/>
            <w:tcBorders>
              <w:top w:val="single" w:sz="6" w:space="0" w:color="000000"/>
              <w:left w:val="single" w:sz="4" w:space="0" w:color="000000"/>
              <w:bottom w:val="single" w:sz="4" w:space="0" w:color="000000"/>
              <w:right w:val="single" w:sz="4" w:space="0" w:color="000000"/>
            </w:tcBorders>
            <w:shd w:val="clear" w:color="auto" w:fill="B5E6A2"/>
          </w:tcPr>
          <w:p w14:paraId="4C1D38E5" w14:textId="77777777" w:rsidR="003D3187" w:rsidRDefault="00000000">
            <w:pPr>
              <w:spacing w:after="0" w:line="259" w:lineRule="auto"/>
              <w:ind w:left="1" w:firstLine="0"/>
            </w:pPr>
            <w:r>
              <w:rPr>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B5E6A2"/>
          </w:tcPr>
          <w:p w14:paraId="181C76BF" w14:textId="77777777" w:rsidR="003D3187" w:rsidRDefault="00000000">
            <w:pPr>
              <w:spacing w:after="0" w:line="259" w:lineRule="auto"/>
              <w:ind w:left="0" w:right="13" w:firstLine="0"/>
              <w:jc w:val="center"/>
            </w:pPr>
            <w:r>
              <w:rPr>
                <w:b/>
                <w:sz w:val="22"/>
              </w:rPr>
              <w:t xml:space="preserve">4.599 </w:t>
            </w:r>
          </w:p>
        </w:tc>
      </w:tr>
      <w:tr w:rsidR="003D3187" w14:paraId="55E846C1" w14:textId="77777777">
        <w:trPr>
          <w:trHeight w:val="308"/>
        </w:trPr>
        <w:tc>
          <w:tcPr>
            <w:tcW w:w="5523" w:type="dxa"/>
            <w:tcBorders>
              <w:top w:val="single" w:sz="4" w:space="0" w:color="000000"/>
              <w:left w:val="single" w:sz="4" w:space="0" w:color="000000"/>
              <w:bottom w:val="single" w:sz="4" w:space="0" w:color="000000"/>
              <w:right w:val="single" w:sz="4" w:space="0" w:color="000000"/>
            </w:tcBorders>
          </w:tcPr>
          <w:p w14:paraId="16D08017" w14:textId="77777777" w:rsidR="003D3187" w:rsidRDefault="00000000">
            <w:pPr>
              <w:spacing w:after="0" w:line="259" w:lineRule="auto"/>
              <w:ind w:left="0" w:firstLine="0"/>
            </w:pPr>
            <w:r>
              <w:rPr>
                <w:sz w:val="22"/>
              </w:rPr>
              <w:t xml:space="preserve">Reversal of Prior Year Short Term Growth </w:t>
            </w:r>
          </w:p>
        </w:tc>
        <w:tc>
          <w:tcPr>
            <w:tcW w:w="7371" w:type="dxa"/>
            <w:tcBorders>
              <w:top w:val="single" w:sz="4" w:space="0" w:color="000000"/>
              <w:left w:val="single" w:sz="4" w:space="0" w:color="000000"/>
              <w:bottom w:val="single" w:sz="4" w:space="0" w:color="000000"/>
              <w:right w:val="single" w:sz="4" w:space="0" w:color="000000"/>
            </w:tcBorders>
          </w:tcPr>
          <w:p w14:paraId="57CEA980" w14:textId="77777777" w:rsidR="003D3187" w:rsidRDefault="00000000">
            <w:pPr>
              <w:spacing w:after="0" w:line="259" w:lineRule="auto"/>
              <w:ind w:left="1" w:firstLine="0"/>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E4987B7" w14:textId="77777777" w:rsidR="003D3187" w:rsidRDefault="00000000">
            <w:pPr>
              <w:spacing w:after="0" w:line="259" w:lineRule="auto"/>
              <w:ind w:left="134" w:firstLine="0"/>
            </w:pPr>
            <w:r>
              <w:rPr>
                <w:sz w:val="22"/>
              </w:rPr>
              <w:t xml:space="preserve">(0.566) </w:t>
            </w:r>
          </w:p>
        </w:tc>
      </w:tr>
      <w:tr w:rsidR="003D3187" w14:paraId="1860119E" w14:textId="77777777">
        <w:trPr>
          <w:trHeight w:val="308"/>
        </w:trPr>
        <w:tc>
          <w:tcPr>
            <w:tcW w:w="5523" w:type="dxa"/>
            <w:tcBorders>
              <w:top w:val="single" w:sz="4" w:space="0" w:color="000000"/>
              <w:left w:val="single" w:sz="4" w:space="0" w:color="000000"/>
              <w:bottom w:val="single" w:sz="4" w:space="0" w:color="000000"/>
              <w:right w:val="single" w:sz="4" w:space="0" w:color="000000"/>
            </w:tcBorders>
            <w:shd w:val="clear" w:color="auto" w:fill="B5E6A2"/>
          </w:tcPr>
          <w:p w14:paraId="4AEF3AB2" w14:textId="77777777" w:rsidR="003D3187" w:rsidRDefault="00000000">
            <w:pPr>
              <w:spacing w:after="0" w:line="259" w:lineRule="auto"/>
              <w:ind w:left="0" w:firstLine="0"/>
            </w:pPr>
            <w:r>
              <w:rPr>
                <w:b/>
                <w:sz w:val="22"/>
              </w:rPr>
              <w:t xml:space="preserve">Net Impact on Revenue Budget </w:t>
            </w:r>
          </w:p>
        </w:tc>
        <w:tc>
          <w:tcPr>
            <w:tcW w:w="7371" w:type="dxa"/>
            <w:tcBorders>
              <w:top w:val="single" w:sz="4" w:space="0" w:color="000000"/>
              <w:left w:val="single" w:sz="4" w:space="0" w:color="000000"/>
              <w:bottom w:val="single" w:sz="4" w:space="0" w:color="000000"/>
              <w:right w:val="single" w:sz="4" w:space="0" w:color="000000"/>
            </w:tcBorders>
            <w:shd w:val="clear" w:color="auto" w:fill="B5E6A2"/>
          </w:tcPr>
          <w:p w14:paraId="56AB9DAC" w14:textId="77777777" w:rsidR="003D3187" w:rsidRDefault="00000000">
            <w:pPr>
              <w:spacing w:after="0" w:line="259" w:lineRule="auto"/>
              <w:ind w:left="1" w:firstLine="0"/>
            </w:pPr>
            <w:r>
              <w:rPr>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B5E6A2"/>
          </w:tcPr>
          <w:p w14:paraId="10CCB59D" w14:textId="77777777" w:rsidR="003D3187" w:rsidRDefault="00000000">
            <w:pPr>
              <w:spacing w:after="0" w:line="259" w:lineRule="auto"/>
              <w:ind w:left="0" w:right="13" w:firstLine="0"/>
              <w:jc w:val="center"/>
            </w:pPr>
            <w:r>
              <w:rPr>
                <w:b/>
                <w:sz w:val="22"/>
              </w:rPr>
              <w:t xml:space="preserve">4.033 </w:t>
            </w:r>
          </w:p>
        </w:tc>
      </w:tr>
    </w:tbl>
    <w:bookmarkEnd w:id="0"/>
    <w:p w14:paraId="38909C1D" w14:textId="77777777" w:rsidR="003D3187" w:rsidRDefault="00000000">
      <w:pPr>
        <w:spacing w:after="0" w:line="259" w:lineRule="auto"/>
        <w:ind w:left="-589" w:firstLine="0"/>
        <w:jc w:val="both"/>
      </w:pPr>
      <w:r>
        <w:t xml:space="preserve"> </w:t>
      </w:r>
      <w:r>
        <w:tab/>
        <w:t xml:space="preserve"> </w:t>
      </w:r>
    </w:p>
    <w:p w14:paraId="1EC1C37A" w14:textId="77777777" w:rsidR="003D3187" w:rsidRDefault="003D3187">
      <w:pPr>
        <w:sectPr w:rsidR="003D3187">
          <w:pgSz w:w="16838" w:h="11906" w:orient="landscape"/>
          <w:pgMar w:top="1440" w:right="1440" w:bottom="1440" w:left="1440" w:header="720" w:footer="720" w:gutter="0"/>
          <w:cols w:space="720"/>
        </w:sectPr>
      </w:pPr>
    </w:p>
    <w:p w14:paraId="0A74E8FA" w14:textId="77777777" w:rsidR="003D3187" w:rsidRDefault="00000000">
      <w:pPr>
        <w:spacing w:after="0" w:line="259" w:lineRule="auto"/>
        <w:ind w:left="0" w:firstLine="0"/>
        <w:jc w:val="right"/>
      </w:pPr>
      <w:r>
        <w:rPr>
          <w:noProof/>
        </w:rPr>
        <w:drawing>
          <wp:inline distT="0" distB="0" distL="0" distR="0" wp14:anchorId="689760A0" wp14:editId="1262B89D">
            <wp:extent cx="2095500" cy="695325"/>
            <wp:effectExtent l="0" t="0" r="0" b="0"/>
            <wp:docPr id="4171" name="Picture 4171"/>
            <wp:cNvGraphicFramePr/>
            <a:graphic xmlns:a="http://schemas.openxmlformats.org/drawingml/2006/main">
              <a:graphicData uri="http://schemas.openxmlformats.org/drawingml/2006/picture">
                <pic:pic xmlns:pic="http://schemas.openxmlformats.org/drawingml/2006/picture">
                  <pic:nvPicPr>
                    <pic:cNvPr id="4171" name="Picture 4171"/>
                    <pic:cNvPicPr/>
                  </pic:nvPicPr>
                  <pic:blipFill>
                    <a:blip r:embed="rId5"/>
                    <a:stretch>
                      <a:fillRect/>
                    </a:stretch>
                  </pic:blipFill>
                  <pic:spPr>
                    <a:xfrm>
                      <a:off x="0" y="0"/>
                      <a:ext cx="2095500" cy="695325"/>
                    </a:xfrm>
                    <a:prstGeom prst="rect">
                      <a:avLst/>
                    </a:prstGeom>
                  </pic:spPr>
                </pic:pic>
              </a:graphicData>
            </a:graphic>
          </wp:inline>
        </w:drawing>
      </w:r>
      <w:r>
        <w:t xml:space="preserve"> </w:t>
      </w:r>
    </w:p>
    <w:p w14:paraId="421A8780" w14:textId="77777777" w:rsidR="003D3187" w:rsidRDefault="00000000">
      <w:pPr>
        <w:pStyle w:val="Heading2"/>
        <w:spacing w:after="135"/>
        <w:ind w:left="217" w:right="2014"/>
      </w:pPr>
      <w:r>
        <w:t>Appendix 4: Financial Robustness of MTFP Assumptions</w:t>
      </w:r>
      <w:r>
        <w:rPr>
          <w:b w:val="0"/>
        </w:rPr>
        <w:t xml:space="preserve"> </w:t>
      </w:r>
      <w:r>
        <w:rPr>
          <w:b w:val="0"/>
        </w:rPr>
        <w:tab/>
        <w:t xml:space="preserve">  </w:t>
      </w:r>
      <w:r>
        <w:rPr>
          <w:b w:val="0"/>
        </w:rPr>
        <w:tab/>
      </w:r>
      <w:r>
        <w:t xml:space="preserve">           1. Government Funding Projections – Fair Funding Review 2.0 </w:t>
      </w:r>
    </w:p>
    <w:p w14:paraId="0ECD1AAF" w14:textId="77777777" w:rsidR="003D3187" w:rsidRDefault="00000000">
      <w:pPr>
        <w:ind w:right="913"/>
      </w:pPr>
      <w:r>
        <w:t xml:space="preserve">1.1 The Fair Funding review 2.0 was announced by MHCLG in June 2025.  To aid future government funding projections, the council uses an industry standard specialist company, Pixel, to model the likely implications of government decisions to council funding.  Pixel is employed by a number of councils to project this and they worked alongside MHCLG to ensure their model reflected MHCLG’s understanding.   </w:t>
      </w:r>
    </w:p>
    <w:p w14:paraId="6D85759A" w14:textId="77777777" w:rsidR="003D3187" w:rsidRDefault="00000000">
      <w:pPr>
        <w:ind w:right="966"/>
      </w:pPr>
      <w:r>
        <w:t xml:space="preserve">1.2 The outcome of Pixel’s modelling showed increased government funding for the council of £30.292m for 2026/27 compared with 2025/26 funding levels.  With the outcome of the settlement not certain, the council has taken the decision to be prudent, assuming only 70% of this total additional funding for 2026/27.  Therefore £21.259m of the total £30.292m has been included for 2026/27 as additional government funding, leaving £9.033m for prudence.   </w:t>
      </w:r>
    </w:p>
    <w:p w14:paraId="33FD8078" w14:textId="77777777" w:rsidR="003D3187" w:rsidRDefault="00000000">
      <w:pPr>
        <w:ind w:right="712"/>
      </w:pPr>
      <w:r>
        <w:t xml:space="preserve">1.3 The £9.033m prudence factor is approximately the same as the £9.887m if the overall local government funding envelope reduced by £1bn.  Equally, the impact of spreading Fair Funding 2.0 over 4 rather than 3 years would also be manageable (£7.5m).   </w:t>
      </w:r>
    </w:p>
    <w:p w14:paraId="1F36483F" w14:textId="77777777" w:rsidR="003D3187" w:rsidRDefault="00000000">
      <w:pPr>
        <w:ind w:right="913"/>
      </w:pPr>
      <w:r>
        <w:t xml:space="preserve">1.4 This approach fortifies the resilience of the budget projection and the MTFP as it guards against potential changes to the overall settlement figure and the phasing of the fair funding implementation. </w:t>
      </w:r>
    </w:p>
    <w:p w14:paraId="007E6BC3" w14:textId="77777777" w:rsidR="003D3187" w:rsidRDefault="00000000">
      <w:pPr>
        <w:pStyle w:val="Heading2"/>
        <w:spacing w:after="135"/>
        <w:ind w:left="10" w:right="533"/>
      </w:pPr>
      <w:r>
        <w:t xml:space="preserve">2.        Savings Risk Assessment Contingency Increase </w:t>
      </w:r>
    </w:p>
    <w:p w14:paraId="0CF8C746" w14:textId="77777777" w:rsidR="003D3187" w:rsidRDefault="00000000">
      <w:pPr>
        <w:ind w:right="967"/>
      </w:pPr>
      <w:r>
        <w:t xml:space="preserve">2.1 Total budgeted savings for 25/26 was £39.135m.  Whilst savings proposals are made in good faith with expectation they will be fully realised, in reality, various elements can impact their success.  Regular in year monitoring is undertaken to assess the achievability of in year savings using a tracker classifying savings as Blue – Delivered, Green – On Track for Delivery, Yellow – At Risk, Amber – Delayed, Red – NonDelivery.   </w:t>
      </w:r>
    </w:p>
    <w:p w14:paraId="3F017B15" w14:textId="77777777" w:rsidR="003D3187" w:rsidRDefault="00000000">
      <w:pPr>
        <w:ind w:right="860"/>
      </w:pPr>
      <w:r>
        <w:t xml:space="preserve">2.2 To ensure financial resilience, the council has provided for 5% of total savings rated as yellow, 25% of total savings rated amber and 100% of total savings rated red in the contingency budget for 2026/27.  The table below shared at Period 4 shows how the risks have been assessed by Directorate for all 2025/26 savings. </w:t>
      </w:r>
    </w:p>
    <w:p w14:paraId="36DBB1E1" w14:textId="77777777" w:rsidR="003D3187" w:rsidRDefault="00000000">
      <w:pPr>
        <w:spacing w:after="0" w:line="259" w:lineRule="auto"/>
        <w:ind w:left="207" w:firstLine="0"/>
      </w:pPr>
      <w:r>
        <w:t xml:space="preserve"> </w:t>
      </w:r>
      <w:r>
        <w:tab/>
        <w:t xml:space="preserve"> </w:t>
      </w:r>
    </w:p>
    <w:p w14:paraId="2543CD6C" w14:textId="77777777" w:rsidR="003D3187" w:rsidRDefault="00000000">
      <w:pPr>
        <w:pStyle w:val="Heading2"/>
        <w:ind w:left="217" w:right="533"/>
      </w:pPr>
      <w:r>
        <w:t xml:space="preserve">Period 4 Savings Tracker </w:t>
      </w:r>
    </w:p>
    <w:tbl>
      <w:tblPr>
        <w:tblStyle w:val="TableGrid"/>
        <w:tblW w:w="9213" w:type="dxa"/>
        <w:tblInd w:w="207" w:type="dxa"/>
        <w:tblCellMar>
          <w:top w:w="26" w:type="dxa"/>
          <w:left w:w="56" w:type="dxa"/>
          <w:bottom w:w="0" w:type="dxa"/>
          <w:right w:w="13" w:type="dxa"/>
        </w:tblCellMar>
        <w:tblLook w:val="04A0" w:firstRow="1" w:lastRow="0" w:firstColumn="1" w:lastColumn="0" w:noHBand="0" w:noVBand="1"/>
      </w:tblPr>
      <w:tblGrid>
        <w:gridCol w:w="1271"/>
        <w:gridCol w:w="1448"/>
        <w:gridCol w:w="1334"/>
        <w:gridCol w:w="1334"/>
        <w:gridCol w:w="1172"/>
        <w:gridCol w:w="1379"/>
        <w:gridCol w:w="1275"/>
      </w:tblGrid>
      <w:tr w:rsidR="003D3187" w14:paraId="2C8CDBCE" w14:textId="77777777">
        <w:trPr>
          <w:trHeight w:val="579"/>
        </w:trPr>
        <w:tc>
          <w:tcPr>
            <w:tcW w:w="1271" w:type="dxa"/>
            <w:tcBorders>
              <w:top w:val="single" w:sz="4" w:space="0" w:color="000000"/>
              <w:left w:val="single" w:sz="4" w:space="0" w:color="000000"/>
              <w:bottom w:val="single" w:sz="4" w:space="0" w:color="000000"/>
              <w:right w:val="single" w:sz="4" w:space="0" w:color="000000"/>
            </w:tcBorders>
            <w:vAlign w:val="center"/>
          </w:tcPr>
          <w:p w14:paraId="352C630E" w14:textId="77777777" w:rsidR="003D3187" w:rsidRDefault="00000000">
            <w:pPr>
              <w:spacing w:after="0" w:line="259" w:lineRule="auto"/>
              <w:ind w:left="1" w:firstLine="0"/>
              <w:jc w:val="both"/>
            </w:pPr>
            <w:r>
              <w:rPr>
                <w:b/>
                <w:sz w:val="20"/>
              </w:rPr>
              <w:t xml:space="preserve">Department </w:t>
            </w:r>
          </w:p>
        </w:tc>
        <w:tc>
          <w:tcPr>
            <w:tcW w:w="1448" w:type="dxa"/>
            <w:tcBorders>
              <w:top w:val="single" w:sz="4" w:space="0" w:color="000000"/>
              <w:left w:val="single" w:sz="4" w:space="0" w:color="000000"/>
              <w:bottom w:val="single" w:sz="4" w:space="0" w:color="000000"/>
              <w:right w:val="single" w:sz="4" w:space="0" w:color="000000"/>
            </w:tcBorders>
          </w:tcPr>
          <w:p w14:paraId="02E0DA1F" w14:textId="77777777" w:rsidR="003D3187" w:rsidRDefault="00000000">
            <w:pPr>
              <w:spacing w:after="0" w:line="259" w:lineRule="auto"/>
              <w:ind w:left="1" w:firstLine="0"/>
            </w:pPr>
            <w:r>
              <w:rPr>
                <w:b/>
                <w:sz w:val="20"/>
              </w:rPr>
              <w:t xml:space="preserve">Savings to Be Delivered </w:t>
            </w:r>
          </w:p>
        </w:tc>
        <w:tc>
          <w:tcPr>
            <w:tcW w:w="1334" w:type="dxa"/>
            <w:tcBorders>
              <w:top w:val="single" w:sz="4" w:space="0" w:color="000000"/>
              <w:left w:val="single" w:sz="4" w:space="0" w:color="000000"/>
              <w:bottom w:val="single" w:sz="4" w:space="0" w:color="000000"/>
              <w:right w:val="single" w:sz="4" w:space="0" w:color="000000"/>
            </w:tcBorders>
            <w:shd w:val="clear" w:color="auto" w:fill="00B0F0"/>
          </w:tcPr>
          <w:p w14:paraId="071C7610" w14:textId="77777777" w:rsidR="003D3187" w:rsidRDefault="00000000">
            <w:pPr>
              <w:spacing w:after="0" w:line="259" w:lineRule="auto"/>
              <w:ind w:left="0" w:firstLine="0"/>
            </w:pPr>
            <w:r>
              <w:rPr>
                <w:b/>
                <w:sz w:val="20"/>
              </w:rPr>
              <w:t xml:space="preserve">Blue - </w:t>
            </w:r>
          </w:p>
          <w:p w14:paraId="69E9EA07" w14:textId="77777777" w:rsidR="003D3187" w:rsidRDefault="00000000">
            <w:pPr>
              <w:spacing w:after="0" w:line="259" w:lineRule="auto"/>
              <w:ind w:left="0" w:firstLine="0"/>
            </w:pPr>
            <w:r>
              <w:rPr>
                <w:b/>
                <w:sz w:val="20"/>
              </w:rPr>
              <w:t xml:space="preserve">Delivered </w:t>
            </w:r>
          </w:p>
        </w:tc>
        <w:tc>
          <w:tcPr>
            <w:tcW w:w="1334" w:type="dxa"/>
            <w:tcBorders>
              <w:top w:val="single" w:sz="4" w:space="0" w:color="000000"/>
              <w:left w:val="single" w:sz="4" w:space="0" w:color="000000"/>
              <w:bottom w:val="single" w:sz="4" w:space="0" w:color="000000"/>
              <w:right w:val="single" w:sz="4" w:space="0" w:color="000000"/>
            </w:tcBorders>
            <w:shd w:val="clear" w:color="auto" w:fill="00B050"/>
          </w:tcPr>
          <w:p w14:paraId="4DC3F170" w14:textId="77777777" w:rsidR="003D3187" w:rsidRDefault="00000000">
            <w:pPr>
              <w:spacing w:after="0" w:line="259" w:lineRule="auto"/>
              <w:ind w:left="1" w:firstLine="0"/>
            </w:pPr>
            <w:r>
              <w:rPr>
                <w:b/>
                <w:sz w:val="20"/>
              </w:rPr>
              <w:t xml:space="preserve">Green - On Track </w:t>
            </w:r>
          </w:p>
        </w:tc>
        <w:tc>
          <w:tcPr>
            <w:tcW w:w="1172" w:type="dxa"/>
            <w:tcBorders>
              <w:top w:val="single" w:sz="4" w:space="0" w:color="000000"/>
              <w:left w:val="single" w:sz="4" w:space="0" w:color="000000"/>
              <w:bottom w:val="single" w:sz="4" w:space="0" w:color="000000"/>
              <w:right w:val="single" w:sz="4" w:space="0" w:color="000000"/>
            </w:tcBorders>
            <w:shd w:val="clear" w:color="auto" w:fill="FFFF00"/>
          </w:tcPr>
          <w:p w14:paraId="71123D9C" w14:textId="77777777" w:rsidR="003D3187" w:rsidRDefault="00000000">
            <w:pPr>
              <w:spacing w:after="0" w:line="259" w:lineRule="auto"/>
              <w:ind w:left="1" w:firstLine="0"/>
            </w:pPr>
            <w:r>
              <w:rPr>
                <w:b/>
                <w:sz w:val="20"/>
              </w:rPr>
              <w:t xml:space="preserve">Yellow - At Risk  </w:t>
            </w:r>
          </w:p>
        </w:tc>
        <w:tc>
          <w:tcPr>
            <w:tcW w:w="1379" w:type="dxa"/>
            <w:tcBorders>
              <w:top w:val="single" w:sz="4" w:space="0" w:color="000000"/>
              <w:left w:val="single" w:sz="4" w:space="0" w:color="000000"/>
              <w:bottom w:val="single" w:sz="4" w:space="0" w:color="000000"/>
              <w:right w:val="single" w:sz="4" w:space="0" w:color="000000"/>
            </w:tcBorders>
            <w:shd w:val="clear" w:color="auto" w:fill="FFC000"/>
          </w:tcPr>
          <w:p w14:paraId="63D28766" w14:textId="77777777" w:rsidR="003D3187" w:rsidRDefault="00000000">
            <w:pPr>
              <w:spacing w:after="0" w:line="259" w:lineRule="auto"/>
              <w:ind w:left="1" w:firstLine="0"/>
            </w:pPr>
            <w:r>
              <w:rPr>
                <w:b/>
                <w:sz w:val="20"/>
              </w:rPr>
              <w:t xml:space="preserve">Amber - </w:t>
            </w:r>
          </w:p>
          <w:p w14:paraId="1EA14C78" w14:textId="77777777" w:rsidR="003D3187" w:rsidRDefault="00000000">
            <w:pPr>
              <w:spacing w:after="0" w:line="259" w:lineRule="auto"/>
              <w:ind w:left="1" w:firstLine="0"/>
            </w:pPr>
            <w:r>
              <w:rPr>
                <w:b/>
                <w:sz w:val="20"/>
              </w:rPr>
              <w:t xml:space="preserve">Delayed </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2CFF471A" w14:textId="77777777" w:rsidR="003D3187" w:rsidRDefault="00000000">
            <w:pPr>
              <w:spacing w:after="0" w:line="259" w:lineRule="auto"/>
              <w:ind w:left="1" w:firstLine="0"/>
            </w:pPr>
            <w:r>
              <w:rPr>
                <w:b/>
                <w:sz w:val="20"/>
              </w:rPr>
              <w:t>Red Non-</w:t>
            </w:r>
          </w:p>
          <w:p w14:paraId="58576A10" w14:textId="77777777" w:rsidR="003D3187" w:rsidRDefault="00000000">
            <w:pPr>
              <w:spacing w:after="0" w:line="259" w:lineRule="auto"/>
              <w:ind w:left="1" w:firstLine="0"/>
            </w:pPr>
            <w:r>
              <w:rPr>
                <w:b/>
                <w:sz w:val="20"/>
              </w:rPr>
              <w:t xml:space="preserve">Delivery </w:t>
            </w:r>
          </w:p>
        </w:tc>
      </w:tr>
      <w:tr w:rsidR="003D3187" w14:paraId="78A9BDE4" w14:textId="77777777">
        <w:trPr>
          <w:trHeight w:val="295"/>
        </w:trPr>
        <w:tc>
          <w:tcPr>
            <w:tcW w:w="1271" w:type="dxa"/>
            <w:tcBorders>
              <w:top w:val="single" w:sz="4" w:space="0" w:color="000000"/>
              <w:left w:val="single" w:sz="4" w:space="0" w:color="000000"/>
              <w:bottom w:val="single" w:sz="4" w:space="0" w:color="000000"/>
              <w:right w:val="single" w:sz="4" w:space="0" w:color="000000"/>
            </w:tcBorders>
          </w:tcPr>
          <w:p w14:paraId="32D92835" w14:textId="77777777" w:rsidR="003D3187" w:rsidRDefault="00000000">
            <w:pPr>
              <w:spacing w:after="0" w:line="259" w:lineRule="auto"/>
              <w:ind w:left="1" w:firstLine="0"/>
            </w:pPr>
            <w:r>
              <w:rPr>
                <w:sz w:val="20"/>
              </w:rPr>
              <w:t xml:space="preserve">ASC&amp;H </w:t>
            </w:r>
          </w:p>
        </w:tc>
        <w:tc>
          <w:tcPr>
            <w:tcW w:w="1448" w:type="dxa"/>
            <w:tcBorders>
              <w:top w:val="single" w:sz="4" w:space="0" w:color="000000"/>
              <w:left w:val="single" w:sz="4" w:space="0" w:color="000000"/>
              <w:bottom w:val="single" w:sz="4" w:space="0" w:color="000000"/>
              <w:right w:val="single" w:sz="4" w:space="0" w:color="000000"/>
            </w:tcBorders>
          </w:tcPr>
          <w:p w14:paraId="4FE83FD6" w14:textId="77777777" w:rsidR="003D3187" w:rsidRDefault="00000000">
            <w:pPr>
              <w:spacing w:after="0" w:line="259" w:lineRule="auto"/>
              <w:ind w:left="1" w:firstLine="0"/>
            </w:pPr>
            <w:r>
              <w:rPr>
                <w:sz w:val="20"/>
              </w:rPr>
              <w:t xml:space="preserve">(10,655,486) </w:t>
            </w:r>
          </w:p>
        </w:tc>
        <w:tc>
          <w:tcPr>
            <w:tcW w:w="1334" w:type="dxa"/>
            <w:tcBorders>
              <w:top w:val="single" w:sz="4" w:space="0" w:color="000000"/>
              <w:left w:val="single" w:sz="4" w:space="0" w:color="000000"/>
              <w:bottom w:val="single" w:sz="4" w:space="0" w:color="000000"/>
              <w:right w:val="single" w:sz="4" w:space="0" w:color="000000"/>
            </w:tcBorders>
            <w:shd w:val="clear" w:color="auto" w:fill="00B0F0"/>
          </w:tcPr>
          <w:p w14:paraId="1BE5D2A1" w14:textId="77777777" w:rsidR="003D3187" w:rsidRDefault="00000000">
            <w:pPr>
              <w:spacing w:after="0" w:line="259" w:lineRule="auto"/>
              <w:ind w:left="0" w:firstLine="0"/>
            </w:pPr>
            <w:r>
              <w:rPr>
                <w:sz w:val="20"/>
              </w:rPr>
              <w:t xml:space="preserve">(3,047,826) </w:t>
            </w:r>
          </w:p>
        </w:tc>
        <w:tc>
          <w:tcPr>
            <w:tcW w:w="1334" w:type="dxa"/>
            <w:tcBorders>
              <w:top w:val="single" w:sz="4" w:space="0" w:color="000000"/>
              <w:left w:val="single" w:sz="4" w:space="0" w:color="000000"/>
              <w:bottom w:val="single" w:sz="4" w:space="0" w:color="000000"/>
              <w:right w:val="single" w:sz="4" w:space="0" w:color="000000"/>
            </w:tcBorders>
            <w:shd w:val="clear" w:color="auto" w:fill="00B050"/>
          </w:tcPr>
          <w:p w14:paraId="5ACE34D1" w14:textId="77777777" w:rsidR="003D3187" w:rsidRDefault="00000000">
            <w:pPr>
              <w:spacing w:after="0" w:line="259" w:lineRule="auto"/>
              <w:ind w:left="1" w:firstLine="0"/>
            </w:pPr>
            <w:r>
              <w:rPr>
                <w:sz w:val="20"/>
              </w:rPr>
              <w:t xml:space="preserve">(3,593,625) </w:t>
            </w:r>
          </w:p>
        </w:tc>
        <w:tc>
          <w:tcPr>
            <w:tcW w:w="1172" w:type="dxa"/>
            <w:tcBorders>
              <w:top w:val="single" w:sz="4" w:space="0" w:color="000000"/>
              <w:left w:val="single" w:sz="4" w:space="0" w:color="000000"/>
              <w:bottom w:val="single" w:sz="4" w:space="0" w:color="000000"/>
              <w:right w:val="single" w:sz="4" w:space="0" w:color="000000"/>
            </w:tcBorders>
            <w:shd w:val="clear" w:color="auto" w:fill="FFFF00"/>
          </w:tcPr>
          <w:p w14:paraId="33CD16F6" w14:textId="77777777" w:rsidR="003D3187" w:rsidRDefault="00000000">
            <w:pPr>
              <w:spacing w:after="0" w:line="259" w:lineRule="auto"/>
              <w:ind w:left="1" w:firstLine="0"/>
            </w:pPr>
            <w:r>
              <w:rPr>
                <w:sz w:val="20"/>
              </w:rPr>
              <w:t xml:space="preserve">(80,875) </w:t>
            </w:r>
          </w:p>
        </w:tc>
        <w:tc>
          <w:tcPr>
            <w:tcW w:w="1379" w:type="dxa"/>
            <w:tcBorders>
              <w:top w:val="single" w:sz="4" w:space="0" w:color="000000"/>
              <w:left w:val="single" w:sz="4" w:space="0" w:color="000000"/>
              <w:bottom w:val="single" w:sz="4" w:space="0" w:color="000000"/>
              <w:right w:val="single" w:sz="4" w:space="0" w:color="000000"/>
            </w:tcBorders>
            <w:shd w:val="clear" w:color="auto" w:fill="FFC000"/>
          </w:tcPr>
          <w:p w14:paraId="5DF69775" w14:textId="77777777" w:rsidR="003D3187" w:rsidRDefault="00000000">
            <w:pPr>
              <w:spacing w:after="0" w:line="259" w:lineRule="auto"/>
              <w:ind w:left="1" w:firstLine="0"/>
            </w:pPr>
            <w:r>
              <w:rPr>
                <w:sz w:val="20"/>
              </w:rPr>
              <w:t xml:space="preserve">(2,417,268) </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581D5744" w14:textId="77777777" w:rsidR="003D3187" w:rsidRDefault="00000000">
            <w:pPr>
              <w:spacing w:after="0" w:line="259" w:lineRule="auto"/>
              <w:ind w:left="1" w:firstLine="0"/>
            </w:pPr>
            <w:r>
              <w:rPr>
                <w:sz w:val="20"/>
              </w:rPr>
              <w:t xml:space="preserve">(3,672,189) </w:t>
            </w:r>
          </w:p>
        </w:tc>
      </w:tr>
      <w:tr w:rsidR="003D3187" w14:paraId="3FC0A54B" w14:textId="77777777">
        <w:trPr>
          <w:trHeight w:val="295"/>
        </w:trPr>
        <w:tc>
          <w:tcPr>
            <w:tcW w:w="1271" w:type="dxa"/>
            <w:tcBorders>
              <w:top w:val="single" w:sz="4" w:space="0" w:color="000000"/>
              <w:left w:val="single" w:sz="4" w:space="0" w:color="000000"/>
              <w:bottom w:val="single" w:sz="4" w:space="0" w:color="000000"/>
              <w:right w:val="single" w:sz="4" w:space="0" w:color="000000"/>
            </w:tcBorders>
          </w:tcPr>
          <w:p w14:paraId="22E6CD24" w14:textId="77777777" w:rsidR="003D3187" w:rsidRDefault="00000000">
            <w:pPr>
              <w:spacing w:after="0" w:line="259" w:lineRule="auto"/>
              <w:ind w:left="1" w:firstLine="0"/>
            </w:pPr>
            <w:r>
              <w:rPr>
                <w:sz w:val="20"/>
              </w:rPr>
              <w:t xml:space="preserve">CES </w:t>
            </w:r>
          </w:p>
        </w:tc>
        <w:tc>
          <w:tcPr>
            <w:tcW w:w="1448" w:type="dxa"/>
            <w:tcBorders>
              <w:top w:val="single" w:sz="4" w:space="0" w:color="000000"/>
              <w:left w:val="single" w:sz="4" w:space="0" w:color="000000"/>
              <w:bottom w:val="single" w:sz="4" w:space="0" w:color="000000"/>
              <w:right w:val="single" w:sz="4" w:space="0" w:color="000000"/>
            </w:tcBorders>
          </w:tcPr>
          <w:p w14:paraId="0B58948E" w14:textId="77777777" w:rsidR="003D3187" w:rsidRDefault="00000000">
            <w:pPr>
              <w:spacing w:after="0" w:line="259" w:lineRule="auto"/>
              <w:ind w:left="1" w:firstLine="0"/>
            </w:pPr>
            <w:r>
              <w:rPr>
                <w:sz w:val="20"/>
              </w:rPr>
              <w:t xml:space="preserve">(10,184,964) </w:t>
            </w:r>
          </w:p>
        </w:tc>
        <w:tc>
          <w:tcPr>
            <w:tcW w:w="1334" w:type="dxa"/>
            <w:tcBorders>
              <w:top w:val="single" w:sz="4" w:space="0" w:color="000000"/>
              <w:left w:val="single" w:sz="4" w:space="0" w:color="000000"/>
              <w:bottom w:val="single" w:sz="4" w:space="0" w:color="000000"/>
              <w:right w:val="single" w:sz="4" w:space="0" w:color="000000"/>
            </w:tcBorders>
            <w:shd w:val="clear" w:color="auto" w:fill="00B0F0"/>
          </w:tcPr>
          <w:p w14:paraId="6047C115" w14:textId="77777777" w:rsidR="003D3187" w:rsidRDefault="00000000">
            <w:pPr>
              <w:spacing w:after="0" w:line="259" w:lineRule="auto"/>
              <w:ind w:left="0" w:firstLine="0"/>
            </w:pPr>
            <w:r>
              <w:rPr>
                <w:sz w:val="20"/>
              </w:rPr>
              <w:t xml:space="preserve">(64,667) </w:t>
            </w:r>
          </w:p>
        </w:tc>
        <w:tc>
          <w:tcPr>
            <w:tcW w:w="1334" w:type="dxa"/>
            <w:tcBorders>
              <w:top w:val="single" w:sz="4" w:space="0" w:color="000000"/>
              <w:left w:val="single" w:sz="4" w:space="0" w:color="000000"/>
              <w:bottom w:val="single" w:sz="4" w:space="0" w:color="000000"/>
              <w:right w:val="single" w:sz="4" w:space="0" w:color="000000"/>
            </w:tcBorders>
            <w:shd w:val="clear" w:color="auto" w:fill="00B050"/>
          </w:tcPr>
          <w:p w14:paraId="3BC736FE" w14:textId="77777777" w:rsidR="003D3187" w:rsidRDefault="00000000">
            <w:pPr>
              <w:spacing w:after="0" w:line="259" w:lineRule="auto"/>
              <w:ind w:left="1" w:firstLine="0"/>
            </w:pPr>
            <w:r>
              <w:rPr>
                <w:sz w:val="20"/>
              </w:rPr>
              <w:t xml:space="preserve">(6,060,417) </w:t>
            </w:r>
          </w:p>
        </w:tc>
        <w:tc>
          <w:tcPr>
            <w:tcW w:w="1172" w:type="dxa"/>
            <w:tcBorders>
              <w:top w:val="single" w:sz="4" w:space="0" w:color="000000"/>
              <w:left w:val="single" w:sz="4" w:space="0" w:color="000000"/>
              <w:bottom w:val="single" w:sz="4" w:space="0" w:color="000000"/>
              <w:right w:val="single" w:sz="4" w:space="0" w:color="000000"/>
            </w:tcBorders>
            <w:shd w:val="clear" w:color="auto" w:fill="FFFF00"/>
          </w:tcPr>
          <w:p w14:paraId="64958B7B" w14:textId="77777777" w:rsidR="003D3187" w:rsidRDefault="00000000">
            <w:pPr>
              <w:spacing w:after="0" w:line="259" w:lineRule="auto"/>
              <w:ind w:left="1" w:firstLine="0"/>
            </w:pPr>
            <w:r>
              <w:rPr>
                <w:sz w:val="20"/>
              </w:rPr>
              <w:t xml:space="preserve">0 </w:t>
            </w:r>
          </w:p>
        </w:tc>
        <w:tc>
          <w:tcPr>
            <w:tcW w:w="1379" w:type="dxa"/>
            <w:tcBorders>
              <w:top w:val="single" w:sz="4" w:space="0" w:color="000000"/>
              <w:left w:val="single" w:sz="4" w:space="0" w:color="000000"/>
              <w:bottom w:val="single" w:sz="4" w:space="0" w:color="000000"/>
              <w:right w:val="single" w:sz="4" w:space="0" w:color="000000"/>
            </w:tcBorders>
            <w:shd w:val="clear" w:color="auto" w:fill="FFC000"/>
          </w:tcPr>
          <w:p w14:paraId="5814EC63" w14:textId="77777777" w:rsidR="003D3187" w:rsidRDefault="00000000">
            <w:pPr>
              <w:spacing w:after="0" w:line="259" w:lineRule="auto"/>
              <w:ind w:left="1" w:firstLine="0"/>
            </w:pPr>
            <w:r>
              <w:rPr>
                <w:sz w:val="20"/>
              </w:rPr>
              <w:t xml:space="preserve">(3,371,880) </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35BD71B9" w14:textId="77777777" w:rsidR="003D3187" w:rsidRDefault="00000000">
            <w:pPr>
              <w:spacing w:after="0" w:line="259" w:lineRule="auto"/>
              <w:ind w:left="1" w:firstLine="0"/>
            </w:pPr>
            <w:r>
              <w:rPr>
                <w:sz w:val="20"/>
              </w:rPr>
              <w:t xml:space="preserve">(688,000) </w:t>
            </w:r>
          </w:p>
        </w:tc>
      </w:tr>
      <w:tr w:rsidR="003D3187" w14:paraId="5218B205" w14:textId="77777777">
        <w:trPr>
          <w:trHeight w:val="295"/>
        </w:trPr>
        <w:tc>
          <w:tcPr>
            <w:tcW w:w="1271" w:type="dxa"/>
            <w:tcBorders>
              <w:top w:val="single" w:sz="4" w:space="0" w:color="000000"/>
              <w:left w:val="single" w:sz="4" w:space="0" w:color="000000"/>
              <w:bottom w:val="single" w:sz="4" w:space="0" w:color="000000"/>
              <w:right w:val="single" w:sz="4" w:space="0" w:color="000000"/>
            </w:tcBorders>
          </w:tcPr>
          <w:p w14:paraId="5C91F4FA" w14:textId="77777777" w:rsidR="003D3187" w:rsidRDefault="00000000">
            <w:pPr>
              <w:spacing w:after="0" w:line="259" w:lineRule="auto"/>
              <w:ind w:left="1" w:firstLine="0"/>
            </w:pPr>
            <w:r>
              <w:rPr>
                <w:sz w:val="20"/>
              </w:rPr>
              <w:t xml:space="preserve">CERS </w:t>
            </w:r>
          </w:p>
        </w:tc>
        <w:tc>
          <w:tcPr>
            <w:tcW w:w="1448" w:type="dxa"/>
            <w:tcBorders>
              <w:top w:val="single" w:sz="4" w:space="0" w:color="000000"/>
              <w:left w:val="single" w:sz="4" w:space="0" w:color="000000"/>
              <w:bottom w:val="single" w:sz="4" w:space="0" w:color="000000"/>
              <w:right w:val="single" w:sz="4" w:space="0" w:color="000000"/>
            </w:tcBorders>
          </w:tcPr>
          <w:p w14:paraId="667006A4" w14:textId="77777777" w:rsidR="003D3187" w:rsidRDefault="00000000">
            <w:pPr>
              <w:spacing w:after="0" w:line="259" w:lineRule="auto"/>
              <w:ind w:left="1" w:firstLine="0"/>
            </w:pPr>
            <w:r>
              <w:rPr>
                <w:sz w:val="20"/>
              </w:rPr>
              <w:t xml:space="preserve">(7,757,018) </w:t>
            </w:r>
          </w:p>
        </w:tc>
        <w:tc>
          <w:tcPr>
            <w:tcW w:w="1334" w:type="dxa"/>
            <w:tcBorders>
              <w:top w:val="single" w:sz="4" w:space="0" w:color="000000"/>
              <w:left w:val="single" w:sz="4" w:space="0" w:color="000000"/>
              <w:bottom w:val="single" w:sz="4" w:space="0" w:color="000000"/>
              <w:right w:val="single" w:sz="4" w:space="0" w:color="000000"/>
            </w:tcBorders>
            <w:shd w:val="clear" w:color="auto" w:fill="00B0F0"/>
          </w:tcPr>
          <w:p w14:paraId="72BBAA07" w14:textId="77777777" w:rsidR="003D3187" w:rsidRDefault="00000000">
            <w:pPr>
              <w:spacing w:after="0" w:line="259" w:lineRule="auto"/>
              <w:ind w:left="0" w:firstLine="0"/>
            </w:pPr>
            <w:r>
              <w:rPr>
                <w:sz w:val="20"/>
              </w:rPr>
              <w:t xml:space="preserve">(2,607,889) </w:t>
            </w:r>
          </w:p>
        </w:tc>
        <w:tc>
          <w:tcPr>
            <w:tcW w:w="1334" w:type="dxa"/>
            <w:tcBorders>
              <w:top w:val="single" w:sz="4" w:space="0" w:color="000000"/>
              <w:left w:val="single" w:sz="4" w:space="0" w:color="000000"/>
              <w:bottom w:val="single" w:sz="4" w:space="0" w:color="000000"/>
              <w:right w:val="single" w:sz="4" w:space="0" w:color="000000"/>
            </w:tcBorders>
            <w:shd w:val="clear" w:color="auto" w:fill="00B050"/>
          </w:tcPr>
          <w:p w14:paraId="2476B054" w14:textId="77777777" w:rsidR="003D3187" w:rsidRDefault="00000000">
            <w:pPr>
              <w:spacing w:after="0" w:line="259" w:lineRule="auto"/>
              <w:ind w:left="1" w:firstLine="0"/>
            </w:pPr>
            <w:r>
              <w:rPr>
                <w:sz w:val="20"/>
              </w:rPr>
              <w:t xml:space="preserve">(2,632,620) </w:t>
            </w:r>
          </w:p>
        </w:tc>
        <w:tc>
          <w:tcPr>
            <w:tcW w:w="1172" w:type="dxa"/>
            <w:tcBorders>
              <w:top w:val="single" w:sz="4" w:space="0" w:color="000000"/>
              <w:left w:val="single" w:sz="4" w:space="0" w:color="000000"/>
              <w:bottom w:val="single" w:sz="4" w:space="0" w:color="000000"/>
              <w:right w:val="single" w:sz="4" w:space="0" w:color="000000"/>
            </w:tcBorders>
            <w:shd w:val="clear" w:color="auto" w:fill="FFFF00"/>
          </w:tcPr>
          <w:p w14:paraId="78573BA3" w14:textId="77777777" w:rsidR="003D3187" w:rsidRDefault="00000000">
            <w:pPr>
              <w:spacing w:after="0" w:line="259" w:lineRule="auto"/>
              <w:ind w:left="1" w:firstLine="0"/>
            </w:pPr>
            <w:r>
              <w:rPr>
                <w:sz w:val="20"/>
              </w:rPr>
              <w:t xml:space="preserve">(700,000) </w:t>
            </w:r>
          </w:p>
        </w:tc>
        <w:tc>
          <w:tcPr>
            <w:tcW w:w="1379" w:type="dxa"/>
            <w:tcBorders>
              <w:top w:val="single" w:sz="4" w:space="0" w:color="000000"/>
              <w:left w:val="single" w:sz="4" w:space="0" w:color="000000"/>
              <w:bottom w:val="single" w:sz="4" w:space="0" w:color="000000"/>
              <w:right w:val="single" w:sz="4" w:space="0" w:color="000000"/>
            </w:tcBorders>
            <w:shd w:val="clear" w:color="auto" w:fill="FFC000"/>
          </w:tcPr>
          <w:p w14:paraId="4597D41A" w14:textId="77777777" w:rsidR="003D3187" w:rsidRDefault="00000000">
            <w:pPr>
              <w:spacing w:after="0" w:line="259" w:lineRule="auto"/>
              <w:ind w:left="1" w:firstLine="0"/>
            </w:pPr>
            <w:r>
              <w:rPr>
                <w:sz w:val="20"/>
              </w:rPr>
              <w:t xml:space="preserve">(1,816,509) </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6CB0B4E5" w14:textId="77777777" w:rsidR="003D3187" w:rsidRDefault="00000000">
            <w:pPr>
              <w:spacing w:after="0" w:line="259" w:lineRule="auto"/>
              <w:ind w:left="1" w:firstLine="0"/>
            </w:pPr>
            <w:r>
              <w:rPr>
                <w:sz w:val="20"/>
              </w:rPr>
              <w:t xml:space="preserve">0 </w:t>
            </w:r>
          </w:p>
        </w:tc>
      </w:tr>
      <w:tr w:rsidR="003D3187" w14:paraId="082ADD43" w14:textId="77777777">
        <w:trPr>
          <w:trHeight w:val="295"/>
        </w:trPr>
        <w:tc>
          <w:tcPr>
            <w:tcW w:w="1271" w:type="dxa"/>
            <w:tcBorders>
              <w:top w:val="single" w:sz="4" w:space="0" w:color="000000"/>
              <w:left w:val="single" w:sz="4" w:space="0" w:color="000000"/>
              <w:bottom w:val="single" w:sz="4" w:space="0" w:color="000000"/>
              <w:right w:val="single" w:sz="4" w:space="0" w:color="000000"/>
            </w:tcBorders>
          </w:tcPr>
          <w:p w14:paraId="18725B56" w14:textId="77777777" w:rsidR="003D3187" w:rsidRDefault="00000000">
            <w:pPr>
              <w:spacing w:after="0" w:line="259" w:lineRule="auto"/>
              <w:ind w:left="1" w:firstLine="0"/>
            </w:pPr>
            <w:r>
              <w:rPr>
                <w:sz w:val="20"/>
              </w:rPr>
              <w:t xml:space="preserve">G&amp;CD </w:t>
            </w:r>
          </w:p>
        </w:tc>
        <w:tc>
          <w:tcPr>
            <w:tcW w:w="1448" w:type="dxa"/>
            <w:tcBorders>
              <w:top w:val="single" w:sz="4" w:space="0" w:color="000000"/>
              <w:left w:val="single" w:sz="4" w:space="0" w:color="000000"/>
              <w:bottom w:val="single" w:sz="4" w:space="0" w:color="000000"/>
              <w:right w:val="single" w:sz="4" w:space="0" w:color="000000"/>
            </w:tcBorders>
          </w:tcPr>
          <w:p w14:paraId="7626ACD5" w14:textId="77777777" w:rsidR="003D3187" w:rsidRDefault="00000000">
            <w:pPr>
              <w:spacing w:after="0" w:line="259" w:lineRule="auto"/>
              <w:ind w:left="1" w:firstLine="0"/>
            </w:pPr>
            <w:r>
              <w:rPr>
                <w:sz w:val="20"/>
              </w:rPr>
              <w:t xml:space="preserve">(5,676,710) </w:t>
            </w:r>
          </w:p>
        </w:tc>
        <w:tc>
          <w:tcPr>
            <w:tcW w:w="1334" w:type="dxa"/>
            <w:tcBorders>
              <w:top w:val="single" w:sz="4" w:space="0" w:color="000000"/>
              <w:left w:val="single" w:sz="4" w:space="0" w:color="000000"/>
              <w:bottom w:val="single" w:sz="4" w:space="0" w:color="000000"/>
              <w:right w:val="single" w:sz="4" w:space="0" w:color="000000"/>
            </w:tcBorders>
            <w:shd w:val="clear" w:color="auto" w:fill="00B0F0"/>
          </w:tcPr>
          <w:p w14:paraId="44C1693B" w14:textId="77777777" w:rsidR="003D3187" w:rsidRDefault="00000000">
            <w:pPr>
              <w:spacing w:after="0" w:line="259" w:lineRule="auto"/>
              <w:ind w:left="0" w:firstLine="0"/>
            </w:pPr>
            <w:r>
              <w:rPr>
                <w:sz w:val="20"/>
              </w:rPr>
              <w:t xml:space="preserve">(775,500) </w:t>
            </w:r>
          </w:p>
        </w:tc>
        <w:tc>
          <w:tcPr>
            <w:tcW w:w="1334" w:type="dxa"/>
            <w:tcBorders>
              <w:top w:val="single" w:sz="4" w:space="0" w:color="000000"/>
              <w:left w:val="single" w:sz="4" w:space="0" w:color="000000"/>
              <w:bottom w:val="single" w:sz="4" w:space="0" w:color="000000"/>
              <w:right w:val="single" w:sz="4" w:space="0" w:color="000000"/>
            </w:tcBorders>
            <w:shd w:val="clear" w:color="auto" w:fill="00B050"/>
          </w:tcPr>
          <w:p w14:paraId="4AEECE08" w14:textId="77777777" w:rsidR="003D3187" w:rsidRDefault="00000000">
            <w:pPr>
              <w:spacing w:after="0" w:line="259" w:lineRule="auto"/>
              <w:ind w:left="1" w:firstLine="0"/>
            </w:pPr>
            <w:r>
              <w:rPr>
                <w:sz w:val="20"/>
              </w:rPr>
              <w:t xml:space="preserve">(3,755,748) </w:t>
            </w:r>
          </w:p>
        </w:tc>
        <w:tc>
          <w:tcPr>
            <w:tcW w:w="1172" w:type="dxa"/>
            <w:tcBorders>
              <w:top w:val="single" w:sz="4" w:space="0" w:color="000000"/>
              <w:left w:val="single" w:sz="4" w:space="0" w:color="000000"/>
              <w:bottom w:val="single" w:sz="4" w:space="0" w:color="000000"/>
              <w:right w:val="single" w:sz="4" w:space="0" w:color="000000"/>
            </w:tcBorders>
            <w:shd w:val="clear" w:color="auto" w:fill="FFFF00"/>
          </w:tcPr>
          <w:p w14:paraId="4662DB54" w14:textId="77777777" w:rsidR="003D3187" w:rsidRDefault="00000000">
            <w:pPr>
              <w:spacing w:after="0" w:line="259" w:lineRule="auto"/>
              <w:ind w:left="1" w:firstLine="0"/>
            </w:pPr>
            <w:r>
              <w:rPr>
                <w:sz w:val="20"/>
              </w:rPr>
              <w:t xml:space="preserve">(337,471) </w:t>
            </w:r>
          </w:p>
        </w:tc>
        <w:tc>
          <w:tcPr>
            <w:tcW w:w="1379" w:type="dxa"/>
            <w:tcBorders>
              <w:top w:val="single" w:sz="4" w:space="0" w:color="000000"/>
              <w:left w:val="single" w:sz="4" w:space="0" w:color="000000"/>
              <w:bottom w:val="single" w:sz="4" w:space="0" w:color="000000"/>
              <w:right w:val="single" w:sz="4" w:space="0" w:color="000000"/>
            </w:tcBorders>
            <w:shd w:val="clear" w:color="auto" w:fill="FFC000"/>
          </w:tcPr>
          <w:p w14:paraId="5984F7DC" w14:textId="77777777" w:rsidR="003D3187" w:rsidRDefault="00000000">
            <w:pPr>
              <w:spacing w:after="0" w:line="259" w:lineRule="auto"/>
              <w:ind w:left="1" w:firstLine="0"/>
            </w:pPr>
            <w:r>
              <w:rPr>
                <w:sz w:val="20"/>
              </w:rPr>
              <w:t xml:space="preserve">(677,991) </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5D25A4A9" w14:textId="77777777" w:rsidR="003D3187" w:rsidRDefault="00000000">
            <w:pPr>
              <w:spacing w:after="0" w:line="259" w:lineRule="auto"/>
              <w:ind w:left="1" w:firstLine="0"/>
            </w:pPr>
            <w:r>
              <w:rPr>
                <w:sz w:val="20"/>
              </w:rPr>
              <w:t xml:space="preserve">(130,000) </w:t>
            </w:r>
          </w:p>
        </w:tc>
      </w:tr>
      <w:tr w:rsidR="003D3187" w14:paraId="75F2E673" w14:textId="77777777">
        <w:trPr>
          <w:trHeight w:val="295"/>
        </w:trPr>
        <w:tc>
          <w:tcPr>
            <w:tcW w:w="1271" w:type="dxa"/>
            <w:tcBorders>
              <w:top w:val="single" w:sz="4" w:space="0" w:color="000000"/>
              <w:left w:val="single" w:sz="4" w:space="0" w:color="000000"/>
              <w:bottom w:val="single" w:sz="4" w:space="0" w:color="000000"/>
              <w:right w:val="single" w:sz="4" w:space="0" w:color="000000"/>
            </w:tcBorders>
          </w:tcPr>
          <w:p w14:paraId="6F76FC19" w14:textId="77777777" w:rsidR="003D3187" w:rsidRDefault="00000000">
            <w:pPr>
              <w:spacing w:after="0" w:line="259" w:lineRule="auto"/>
              <w:ind w:left="1" w:firstLine="0"/>
            </w:pPr>
            <w:r>
              <w:rPr>
                <w:sz w:val="20"/>
              </w:rPr>
              <w:t xml:space="preserve">F&amp;R </w:t>
            </w:r>
          </w:p>
        </w:tc>
        <w:tc>
          <w:tcPr>
            <w:tcW w:w="1448" w:type="dxa"/>
            <w:tcBorders>
              <w:top w:val="single" w:sz="4" w:space="0" w:color="000000"/>
              <w:left w:val="single" w:sz="4" w:space="0" w:color="000000"/>
              <w:bottom w:val="single" w:sz="4" w:space="0" w:color="000000"/>
              <w:right w:val="single" w:sz="4" w:space="0" w:color="000000"/>
            </w:tcBorders>
          </w:tcPr>
          <w:p w14:paraId="42B24417" w14:textId="77777777" w:rsidR="003D3187" w:rsidRDefault="00000000">
            <w:pPr>
              <w:spacing w:after="0" w:line="259" w:lineRule="auto"/>
              <w:ind w:left="1" w:firstLine="0"/>
            </w:pPr>
            <w:r>
              <w:rPr>
                <w:sz w:val="20"/>
              </w:rPr>
              <w:t xml:space="preserve">(3,886,376) </w:t>
            </w:r>
          </w:p>
        </w:tc>
        <w:tc>
          <w:tcPr>
            <w:tcW w:w="1334" w:type="dxa"/>
            <w:tcBorders>
              <w:top w:val="single" w:sz="4" w:space="0" w:color="000000"/>
              <w:left w:val="single" w:sz="4" w:space="0" w:color="000000"/>
              <w:bottom w:val="single" w:sz="4" w:space="0" w:color="000000"/>
              <w:right w:val="single" w:sz="4" w:space="0" w:color="000000"/>
            </w:tcBorders>
            <w:shd w:val="clear" w:color="auto" w:fill="00B0F0"/>
          </w:tcPr>
          <w:p w14:paraId="4BEB0DAE" w14:textId="77777777" w:rsidR="003D3187" w:rsidRDefault="00000000">
            <w:pPr>
              <w:spacing w:after="0" w:line="259" w:lineRule="auto"/>
              <w:ind w:left="0" w:firstLine="0"/>
            </w:pPr>
            <w:r>
              <w:rPr>
                <w:sz w:val="20"/>
              </w:rPr>
              <w:t xml:space="preserve">(1,809,564) </w:t>
            </w:r>
          </w:p>
        </w:tc>
        <w:tc>
          <w:tcPr>
            <w:tcW w:w="1334" w:type="dxa"/>
            <w:tcBorders>
              <w:top w:val="single" w:sz="4" w:space="0" w:color="000000"/>
              <w:left w:val="single" w:sz="4" w:space="0" w:color="000000"/>
              <w:bottom w:val="single" w:sz="4" w:space="0" w:color="000000"/>
              <w:right w:val="single" w:sz="4" w:space="0" w:color="000000"/>
            </w:tcBorders>
            <w:shd w:val="clear" w:color="auto" w:fill="00B050"/>
          </w:tcPr>
          <w:p w14:paraId="1378B88F" w14:textId="77777777" w:rsidR="003D3187" w:rsidRDefault="00000000">
            <w:pPr>
              <w:spacing w:after="0" w:line="259" w:lineRule="auto"/>
              <w:ind w:left="1" w:firstLine="0"/>
            </w:pPr>
            <w:r>
              <w:rPr>
                <w:sz w:val="20"/>
              </w:rPr>
              <w:t xml:space="preserve">(25,417) </w:t>
            </w:r>
          </w:p>
        </w:tc>
        <w:tc>
          <w:tcPr>
            <w:tcW w:w="1172" w:type="dxa"/>
            <w:tcBorders>
              <w:top w:val="single" w:sz="4" w:space="0" w:color="000000"/>
              <w:left w:val="single" w:sz="4" w:space="0" w:color="000000"/>
              <w:bottom w:val="single" w:sz="4" w:space="0" w:color="000000"/>
              <w:right w:val="single" w:sz="4" w:space="0" w:color="000000"/>
            </w:tcBorders>
            <w:shd w:val="clear" w:color="auto" w:fill="FFFF00"/>
          </w:tcPr>
          <w:p w14:paraId="194D1274" w14:textId="77777777" w:rsidR="003D3187" w:rsidRDefault="00000000">
            <w:pPr>
              <w:spacing w:after="0" w:line="259" w:lineRule="auto"/>
              <w:ind w:left="1" w:firstLine="0"/>
            </w:pPr>
            <w:r>
              <w:rPr>
                <w:sz w:val="20"/>
              </w:rPr>
              <w:t xml:space="preserve">0 </w:t>
            </w:r>
          </w:p>
        </w:tc>
        <w:tc>
          <w:tcPr>
            <w:tcW w:w="1379" w:type="dxa"/>
            <w:tcBorders>
              <w:top w:val="single" w:sz="4" w:space="0" w:color="000000"/>
              <w:left w:val="single" w:sz="4" w:space="0" w:color="000000"/>
              <w:bottom w:val="single" w:sz="4" w:space="0" w:color="000000"/>
              <w:right w:val="single" w:sz="4" w:space="0" w:color="000000"/>
            </w:tcBorders>
            <w:shd w:val="clear" w:color="auto" w:fill="FFC000"/>
          </w:tcPr>
          <w:p w14:paraId="3CC9B113" w14:textId="77777777" w:rsidR="003D3187" w:rsidRDefault="00000000">
            <w:pPr>
              <w:spacing w:after="0" w:line="259" w:lineRule="auto"/>
              <w:ind w:left="1" w:firstLine="0"/>
            </w:pPr>
            <w:r>
              <w:rPr>
                <w:sz w:val="20"/>
              </w:rPr>
              <w:t xml:space="preserve">(1,986,395) </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209B03F1" w14:textId="77777777" w:rsidR="003D3187" w:rsidRDefault="00000000">
            <w:pPr>
              <w:spacing w:after="0" w:line="259" w:lineRule="auto"/>
              <w:ind w:left="1" w:firstLine="0"/>
            </w:pPr>
            <w:r>
              <w:rPr>
                <w:sz w:val="20"/>
              </w:rPr>
              <w:t xml:space="preserve">(65,000) </w:t>
            </w:r>
          </w:p>
        </w:tc>
      </w:tr>
      <w:tr w:rsidR="003D3187" w14:paraId="07FC9CE2" w14:textId="77777777">
        <w:trPr>
          <w:trHeight w:val="295"/>
        </w:trPr>
        <w:tc>
          <w:tcPr>
            <w:tcW w:w="1271" w:type="dxa"/>
            <w:tcBorders>
              <w:top w:val="single" w:sz="4" w:space="0" w:color="000000"/>
              <w:left w:val="single" w:sz="4" w:space="0" w:color="000000"/>
              <w:bottom w:val="single" w:sz="4" w:space="0" w:color="000000"/>
              <w:right w:val="single" w:sz="4" w:space="0" w:color="000000"/>
            </w:tcBorders>
          </w:tcPr>
          <w:p w14:paraId="027FC8EF" w14:textId="77777777" w:rsidR="003D3187" w:rsidRDefault="00000000">
            <w:pPr>
              <w:spacing w:after="0" w:line="259" w:lineRule="auto"/>
              <w:ind w:left="1" w:firstLine="0"/>
            </w:pPr>
            <w:r>
              <w:rPr>
                <w:sz w:val="20"/>
              </w:rPr>
              <w:t xml:space="preserve">CEX </w:t>
            </w:r>
          </w:p>
        </w:tc>
        <w:tc>
          <w:tcPr>
            <w:tcW w:w="1448" w:type="dxa"/>
            <w:tcBorders>
              <w:top w:val="single" w:sz="4" w:space="0" w:color="000000"/>
              <w:left w:val="single" w:sz="4" w:space="0" w:color="000000"/>
              <w:bottom w:val="single" w:sz="4" w:space="0" w:color="000000"/>
              <w:right w:val="single" w:sz="4" w:space="0" w:color="000000"/>
            </w:tcBorders>
          </w:tcPr>
          <w:p w14:paraId="7B4C35BD" w14:textId="77777777" w:rsidR="003D3187" w:rsidRDefault="00000000">
            <w:pPr>
              <w:spacing w:after="0" w:line="259" w:lineRule="auto"/>
              <w:ind w:left="1" w:firstLine="0"/>
            </w:pPr>
            <w:r>
              <w:rPr>
                <w:sz w:val="20"/>
              </w:rPr>
              <w:t xml:space="preserve">(280,980) </w:t>
            </w:r>
          </w:p>
        </w:tc>
        <w:tc>
          <w:tcPr>
            <w:tcW w:w="1334" w:type="dxa"/>
            <w:tcBorders>
              <w:top w:val="single" w:sz="4" w:space="0" w:color="000000"/>
              <w:left w:val="single" w:sz="4" w:space="0" w:color="000000"/>
              <w:bottom w:val="single" w:sz="4" w:space="0" w:color="000000"/>
              <w:right w:val="single" w:sz="4" w:space="0" w:color="000000"/>
            </w:tcBorders>
            <w:shd w:val="clear" w:color="auto" w:fill="00B0F0"/>
          </w:tcPr>
          <w:p w14:paraId="35B6875A" w14:textId="77777777" w:rsidR="003D3187" w:rsidRDefault="00000000">
            <w:pPr>
              <w:spacing w:after="0" w:line="259" w:lineRule="auto"/>
              <w:ind w:left="0" w:firstLine="0"/>
            </w:pPr>
            <w:r>
              <w:rPr>
                <w:sz w:val="20"/>
              </w:rPr>
              <w:t xml:space="preserve">(167,750) </w:t>
            </w:r>
          </w:p>
        </w:tc>
        <w:tc>
          <w:tcPr>
            <w:tcW w:w="1334" w:type="dxa"/>
            <w:tcBorders>
              <w:top w:val="single" w:sz="4" w:space="0" w:color="000000"/>
              <w:left w:val="single" w:sz="4" w:space="0" w:color="000000"/>
              <w:bottom w:val="single" w:sz="4" w:space="0" w:color="000000"/>
              <w:right w:val="single" w:sz="4" w:space="0" w:color="000000"/>
            </w:tcBorders>
            <w:shd w:val="clear" w:color="auto" w:fill="00B050"/>
          </w:tcPr>
          <w:p w14:paraId="367363A2" w14:textId="77777777" w:rsidR="003D3187" w:rsidRDefault="00000000">
            <w:pPr>
              <w:spacing w:after="0" w:line="259" w:lineRule="auto"/>
              <w:ind w:left="1" w:firstLine="0"/>
            </w:pPr>
            <w:r>
              <w:rPr>
                <w:sz w:val="20"/>
              </w:rPr>
              <w:t xml:space="preserve">(15,000) </w:t>
            </w:r>
          </w:p>
        </w:tc>
        <w:tc>
          <w:tcPr>
            <w:tcW w:w="1172" w:type="dxa"/>
            <w:tcBorders>
              <w:top w:val="single" w:sz="4" w:space="0" w:color="000000"/>
              <w:left w:val="single" w:sz="4" w:space="0" w:color="000000"/>
              <w:bottom w:val="single" w:sz="4" w:space="0" w:color="000000"/>
              <w:right w:val="single" w:sz="4" w:space="0" w:color="000000"/>
            </w:tcBorders>
            <w:shd w:val="clear" w:color="auto" w:fill="FFFF00"/>
          </w:tcPr>
          <w:p w14:paraId="03C212D3" w14:textId="77777777" w:rsidR="003D3187" w:rsidRDefault="00000000">
            <w:pPr>
              <w:spacing w:after="0" w:line="259" w:lineRule="auto"/>
              <w:ind w:left="1" w:firstLine="0"/>
            </w:pPr>
            <w:r>
              <w:rPr>
                <w:sz w:val="20"/>
              </w:rPr>
              <w:t xml:space="preserve">0 </w:t>
            </w:r>
          </w:p>
        </w:tc>
        <w:tc>
          <w:tcPr>
            <w:tcW w:w="1379" w:type="dxa"/>
            <w:tcBorders>
              <w:top w:val="single" w:sz="4" w:space="0" w:color="000000"/>
              <w:left w:val="single" w:sz="4" w:space="0" w:color="000000"/>
              <w:bottom w:val="single" w:sz="4" w:space="0" w:color="000000"/>
              <w:right w:val="single" w:sz="4" w:space="0" w:color="000000"/>
            </w:tcBorders>
            <w:shd w:val="clear" w:color="auto" w:fill="FFC000"/>
          </w:tcPr>
          <w:p w14:paraId="4758DB61" w14:textId="77777777" w:rsidR="003D3187" w:rsidRDefault="00000000">
            <w:pPr>
              <w:spacing w:after="0" w:line="259" w:lineRule="auto"/>
              <w:ind w:left="1" w:firstLine="0"/>
            </w:pPr>
            <w:r>
              <w:rPr>
                <w:sz w:val="20"/>
              </w:rPr>
              <w:t xml:space="preserve">(98,230) </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36E4F0F4" w14:textId="77777777" w:rsidR="003D3187" w:rsidRDefault="00000000">
            <w:pPr>
              <w:spacing w:after="0" w:line="259" w:lineRule="auto"/>
              <w:ind w:left="1" w:firstLine="0"/>
            </w:pPr>
            <w:r>
              <w:rPr>
                <w:sz w:val="20"/>
              </w:rPr>
              <w:t xml:space="preserve">0 </w:t>
            </w:r>
          </w:p>
        </w:tc>
      </w:tr>
      <w:tr w:rsidR="003D3187" w14:paraId="76B6B88D" w14:textId="77777777">
        <w:trPr>
          <w:trHeight w:val="294"/>
        </w:trPr>
        <w:tc>
          <w:tcPr>
            <w:tcW w:w="1271" w:type="dxa"/>
            <w:tcBorders>
              <w:top w:val="single" w:sz="4" w:space="0" w:color="000000"/>
              <w:left w:val="single" w:sz="4" w:space="0" w:color="000000"/>
              <w:bottom w:val="single" w:sz="4" w:space="0" w:color="000000"/>
              <w:right w:val="single" w:sz="4" w:space="0" w:color="000000"/>
            </w:tcBorders>
          </w:tcPr>
          <w:p w14:paraId="011B2E39" w14:textId="77777777" w:rsidR="003D3187" w:rsidRDefault="00000000">
            <w:pPr>
              <w:spacing w:after="0" w:line="259" w:lineRule="auto"/>
              <w:ind w:left="1" w:firstLine="0"/>
            </w:pPr>
            <w:r>
              <w:rPr>
                <w:sz w:val="20"/>
              </w:rPr>
              <w:t xml:space="preserve">Corporate </w:t>
            </w:r>
          </w:p>
        </w:tc>
        <w:tc>
          <w:tcPr>
            <w:tcW w:w="1448" w:type="dxa"/>
            <w:tcBorders>
              <w:top w:val="single" w:sz="4" w:space="0" w:color="000000"/>
              <w:left w:val="single" w:sz="4" w:space="0" w:color="000000"/>
              <w:bottom w:val="single" w:sz="4" w:space="0" w:color="000000"/>
              <w:right w:val="single" w:sz="4" w:space="0" w:color="000000"/>
            </w:tcBorders>
          </w:tcPr>
          <w:p w14:paraId="0AC8E2F4" w14:textId="77777777" w:rsidR="003D3187" w:rsidRDefault="00000000">
            <w:pPr>
              <w:spacing w:after="0" w:line="259" w:lineRule="auto"/>
              <w:ind w:left="1" w:firstLine="0"/>
            </w:pPr>
            <w:r>
              <w:rPr>
                <w:sz w:val="20"/>
              </w:rPr>
              <w:t xml:space="preserve">(694,000) </w:t>
            </w:r>
          </w:p>
        </w:tc>
        <w:tc>
          <w:tcPr>
            <w:tcW w:w="1334" w:type="dxa"/>
            <w:tcBorders>
              <w:top w:val="single" w:sz="4" w:space="0" w:color="000000"/>
              <w:left w:val="single" w:sz="4" w:space="0" w:color="000000"/>
              <w:bottom w:val="single" w:sz="4" w:space="0" w:color="000000"/>
              <w:right w:val="single" w:sz="4" w:space="0" w:color="000000"/>
            </w:tcBorders>
            <w:shd w:val="clear" w:color="auto" w:fill="00B0F0"/>
          </w:tcPr>
          <w:p w14:paraId="57B75E7E" w14:textId="77777777" w:rsidR="003D3187" w:rsidRDefault="00000000">
            <w:pPr>
              <w:spacing w:after="0" w:line="259" w:lineRule="auto"/>
              <w:ind w:left="0" w:firstLine="0"/>
            </w:pPr>
            <w:r>
              <w:rPr>
                <w:sz w:val="20"/>
              </w:rPr>
              <w:t xml:space="preserve">(60,000) </w:t>
            </w:r>
          </w:p>
        </w:tc>
        <w:tc>
          <w:tcPr>
            <w:tcW w:w="1334" w:type="dxa"/>
            <w:tcBorders>
              <w:top w:val="single" w:sz="4" w:space="0" w:color="000000"/>
              <w:left w:val="single" w:sz="4" w:space="0" w:color="000000"/>
              <w:bottom w:val="single" w:sz="4" w:space="0" w:color="000000"/>
              <w:right w:val="single" w:sz="4" w:space="0" w:color="000000"/>
            </w:tcBorders>
            <w:shd w:val="clear" w:color="auto" w:fill="00B050"/>
          </w:tcPr>
          <w:p w14:paraId="30B0E16D" w14:textId="77777777" w:rsidR="003D3187" w:rsidRDefault="00000000">
            <w:pPr>
              <w:spacing w:after="0" w:line="259" w:lineRule="auto"/>
              <w:ind w:left="1" w:firstLine="0"/>
            </w:pPr>
            <w:r>
              <w:rPr>
                <w:sz w:val="20"/>
              </w:rPr>
              <w:t xml:space="preserve">(29,000) </w:t>
            </w:r>
          </w:p>
        </w:tc>
        <w:tc>
          <w:tcPr>
            <w:tcW w:w="1172" w:type="dxa"/>
            <w:tcBorders>
              <w:top w:val="single" w:sz="4" w:space="0" w:color="000000"/>
              <w:left w:val="single" w:sz="4" w:space="0" w:color="000000"/>
              <w:bottom w:val="single" w:sz="4" w:space="0" w:color="000000"/>
              <w:right w:val="single" w:sz="4" w:space="0" w:color="000000"/>
            </w:tcBorders>
            <w:shd w:val="clear" w:color="auto" w:fill="FFFF00"/>
          </w:tcPr>
          <w:p w14:paraId="0CC4E612" w14:textId="77777777" w:rsidR="003D3187" w:rsidRDefault="00000000">
            <w:pPr>
              <w:spacing w:after="0" w:line="259" w:lineRule="auto"/>
              <w:ind w:left="1" w:firstLine="0"/>
            </w:pPr>
            <w:r>
              <w:rPr>
                <w:sz w:val="20"/>
              </w:rPr>
              <w:t xml:space="preserve">0 </w:t>
            </w:r>
          </w:p>
        </w:tc>
        <w:tc>
          <w:tcPr>
            <w:tcW w:w="1379" w:type="dxa"/>
            <w:tcBorders>
              <w:top w:val="single" w:sz="4" w:space="0" w:color="000000"/>
              <w:left w:val="single" w:sz="4" w:space="0" w:color="000000"/>
              <w:bottom w:val="single" w:sz="4" w:space="0" w:color="000000"/>
              <w:right w:val="single" w:sz="4" w:space="0" w:color="000000"/>
            </w:tcBorders>
            <w:shd w:val="clear" w:color="auto" w:fill="FFC000"/>
          </w:tcPr>
          <w:p w14:paraId="78BB0159" w14:textId="77777777" w:rsidR="003D3187" w:rsidRDefault="00000000">
            <w:pPr>
              <w:spacing w:after="0" w:line="259" w:lineRule="auto"/>
              <w:ind w:left="1" w:firstLine="0"/>
            </w:pPr>
            <w:r>
              <w:rPr>
                <w:sz w:val="20"/>
              </w:rPr>
              <w:t xml:space="preserve">(100,000) </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392FB81B" w14:textId="77777777" w:rsidR="003D3187" w:rsidRDefault="00000000">
            <w:pPr>
              <w:spacing w:after="0" w:line="259" w:lineRule="auto"/>
              <w:ind w:left="1" w:firstLine="0"/>
            </w:pPr>
            <w:r>
              <w:rPr>
                <w:sz w:val="20"/>
              </w:rPr>
              <w:t xml:space="preserve">(505,000) </w:t>
            </w:r>
          </w:p>
        </w:tc>
      </w:tr>
      <w:tr w:rsidR="003D3187" w14:paraId="4D2E8FE1" w14:textId="77777777">
        <w:trPr>
          <w:trHeight w:val="341"/>
        </w:trPr>
        <w:tc>
          <w:tcPr>
            <w:tcW w:w="1271" w:type="dxa"/>
            <w:tcBorders>
              <w:top w:val="single" w:sz="4" w:space="0" w:color="000000"/>
              <w:left w:val="single" w:sz="4" w:space="0" w:color="000000"/>
              <w:bottom w:val="single" w:sz="4" w:space="0" w:color="000000"/>
              <w:right w:val="single" w:sz="4" w:space="0" w:color="000000"/>
            </w:tcBorders>
          </w:tcPr>
          <w:p w14:paraId="5AD2E3C5" w14:textId="77777777" w:rsidR="003D3187" w:rsidRDefault="00000000">
            <w:pPr>
              <w:spacing w:after="0" w:line="259" w:lineRule="auto"/>
              <w:ind w:left="1" w:firstLine="0"/>
            </w:pPr>
            <w:r>
              <w:rPr>
                <w:b/>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6778E1CB" w14:textId="77777777" w:rsidR="003D3187" w:rsidRDefault="00000000">
            <w:pPr>
              <w:spacing w:after="0" w:line="259" w:lineRule="auto"/>
              <w:ind w:left="1" w:firstLine="0"/>
            </w:pPr>
            <w:r>
              <w:rPr>
                <w:b/>
                <w:sz w:val="20"/>
              </w:rPr>
              <w:t xml:space="preserve">(39,135,534) </w:t>
            </w:r>
          </w:p>
        </w:tc>
        <w:tc>
          <w:tcPr>
            <w:tcW w:w="1334" w:type="dxa"/>
            <w:tcBorders>
              <w:top w:val="single" w:sz="4" w:space="0" w:color="000000"/>
              <w:left w:val="single" w:sz="4" w:space="0" w:color="000000"/>
              <w:bottom w:val="single" w:sz="4" w:space="0" w:color="000000"/>
              <w:right w:val="single" w:sz="4" w:space="0" w:color="000000"/>
            </w:tcBorders>
          </w:tcPr>
          <w:p w14:paraId="237B11CC" w14:textId="77777777" w:rsidR="003D3187" w:rsidRDefault="00000000">
            <w:pPr>
              <w:spacing w:after="0" w:line="259" w:lineRule="auto"/>
              <w:ind w:left="0" w:firstLine="0"/>
            </w:pPr>
            <w:r>
              <w:rPr>
                <w:b/>
                <w:sz w:val="20"/>
              </w:rPr>
              <w:t xml:space="preserve">(8,533,196) </w:t>
            </w:r>
          </w:p>
        </w:tc>
        <w:tc>
          <w:tcPr>
            <w:tcW w:w="1334" w:type="dxa"/>
            <w:tcBorders>
              <w:top w:val="single" w:sz="4" w:space="0" w:color="000000"/>
              <w:left w:val="single" w:sz="4" w:space="0" w:color="000000"/>
              <w:bottom w:val="single" w:sz="4" w:space="0" w:color="000000"/>
              <w:right w:val="single" w:sz="4" w:space="0" w:color="000000"/>
            </w:tcBorders>
          </w:tcPr>
          <w:p w14:paraId="43668BE9" w14:textId="77777777" w:rsidR="003D3187" w:rsidRDefault="00000000">
            <w:pPr>
              <w:spacing w:after="0" w:line="259" w:lineRule="auto"/>
              <w:ind w:left="1" w:firstLine="0"/>
              <w:jc w:val="both"/>
            </w:pPr>
            <w:r>
              <w:rPr>
                <w:b/>
                <w:sz w:val="20"/>
              </w:rPr>
              <w:t xml:space="preserve">(16,111,827) </w:t>
            </w:r>
          </w:p>
        </w:tc>
        <w:tc>
          <w:tcPr>
            <w:tcW w:w="1172" w:type="dxa"/>
            <w:tcBorders>
              <w:top w:val="single" w:sz="4" w:space="0" w:color="000000"/>
              <w:left w:val="single" w:sz="4" w:space="0" w:color="000000"/>
              <w:bottom w:val="single" w:sz="4" w:space="0" w:color="000000"/>
              <w:right w:val="single" w:sz="4" w:space="0" w:color="000000"/>
            </w:tcBorders>
          </w:tcPr>
          <w:p w14:paraId="50124A74" w14:textId="77777777" w:rsidR="003D3187" w:rsidRDefault="00000000">
            <w:pPr>
              <w:spacing w:after="0" w:line="259" w:lineRule="auto"/>
              <w:ind w:left="1" w:firstLine="0"/>
              <w:jc w:val="both"/>
            </w:pPr>
            <w:r>
              <w:rPr>
                <w:b/>
                <w:sz w:val="20"/>
              </w:rPr>
              <w:t xml:space="preserve">(1,118,346) </w:t>
            </w:r>
          </w:p>
        </w:tc>
        <w:tc>
          <w:tcPr>
            <w:tcW w:w="1379" w:type="dxa"/>
            <w:tcBorders>
              <w:top w:val="single" w:sz="4" w:space="0" w:color="000000"/>
              <w:left w:val="single" w:sz="4" w:space="0" w:color="000000"/>
              <w:bottom w:val="single" w:sz="4" w:space="0" w:color="000000"/>
              <w:right w:val="single" w:sz="4" w:space="0" w:color="000000"/>
            </w:tcBorders>
          </w:tcPr>
          <w:p w14:paraId="68BF11B0" w14:textId="77777777" w:rsidR="003D3187" w:rsidRDefault="00000000">
            <w:pPr>
              <w:spacing w:after="0" w:line="259" w:lineRule="auto"/>
              <w:ind w:left="1" w:firstLine="0"/>
            </w:pPr>
            <w:r>
              <w:rPr>
                <w:b/>
                <w:sz w:val="20"/>
              </w:rPr>
              <w:t xml:space="preserve">(10,468,273) </w:t>
            </w:r>
          </w:p>
        </w:tc>
        <w:tc>
          <w:tcPr>
            <w:tcW w:w="1275" w:type="dxa"/>
            <w:tcBorders>
              <w:top w:val="single" w:sz="4" w:space="0" w:color="000000"/>
              <w:left w:val="single" w:sz="4" w:space="0" w:color="000000"/>
              <w:bottom w:val="single" w:sz="4" w:space="0" w:color="000000"/>
              <w:right w:val="single" w:sz="4" w:space="0" w:color="000000"/>
            </w:tcBorders>
          </w:tcPr>
          <w:p w14:paraId="05168D12" w14:textId="77777777" w:rsidR="003D3187" w:rsidRDefault="00000000">
            <w:pPr>
              <w:spacing w:after="0" w:line="259" w:lineRule="auto"/>
              <w:ind w:left="1" w:firstLine="0"/>
            </w:pPr>
            <w:r>
              <w:rPr>
                <w:b/>
                <w:sz w:val="20"/>
              </w:rPr>
              <w:t xml:space="preserve">(5,060,189) </w:t>
            </w:r>
          </w:p>
        </w:tc>
      </w:tr>
    </w:tbl>
    <w:p w14:paraId="0E528841" w14:textId="77777777" w:rsidR="003D3187" w:rsidRDefault="00000000">
      <w:pPr>
        <w:spacing w:after="0" w:line="259" w:lineRule="auto"/>
        <w:ind w:left="207" w:firstLine="0"/>
      </w:pPr>
      <w:r>
        <w:t xml:space="preserve"> </w:t>
      </w:r>
    </w:p>
    <w:p w14:paraId="0F41CD1B" w14:textId="77777777" w:rsidR="003D3187" w:rsidRDefault="00000000">
      <w:pPr>
        <w:ind w:right="966"/>
      </w:pPr>
      <w:r>
        <w:t xml:space="preserve">2.3 The next table shows a total of £3.556m for 2026/27 contingency budget to offset the risk of delays to existing 2025/26 savings.  At present, these are still predicted to be delivered in 2025/26 but there is a risk that they will not take place.  Those delayed into 2026/27 are assumed to have a risk that they will be further delayed. </w:t>
      </w:r>
    </w:p>
    <w:p w14:paraId="6A662DB8" w14:textId="77777777" w:rsidR="003D3187" w:rsidRDefault="00000000">
      <w:pPr>
        <w:spacing w:after="0" w:line="259" w:lineRule="auto"/>
        <w:ind w:left="207" w:firstLine="0"/>
      </w:pPr>
      <w:r>
        <w:t xml:space="preserve"> </w:t>
      </w:r>
    </w:p>
    <w:tbl>
      <w:tblPr>
        <w:tblStyle w:val="TableGrid"/>
        <w:tblW w:w="9016" w:type="dxa"/>
        <w:tblInd w:w="212" w:type="dxa"/>
        <w:tblCellMar>
          <w:top w:w="62" w:type="dxa"/>
          <w:left w:w="57" w:type="dxa"/>
          <w:bottom w:w="19" w:type="dxa"/>
          <w:right w:w="51" w:type="dxa"/>
        </w:tblCellMar>
        <w:tblLook w:val="04A0" w:firstRow="1" w:lastRow="0" w:firstColumn="1" w:lastColumn="0" w:noHBand="0" w:noVBand="1"/>
      </w:tblPr>
      <w:tblGrid>
        <w:gridCol w:w="3256"/>
        <w:gridCol w:w="1417"/>
        <w:gridCol w:w="1417"/>
        <w:gridCol w:w="1418"/>
        <w:gridCol w:w="1508"/>
      </w:tblGrid>
      <w:tr w:rsidR="003D3187" w14:paraId="034E9ABC" w14:textId="77777777">
        <w:trPr>
          <w:trHeight w:val="788"/>
        </w:trPr>
        <w:tc>
          <w:tcPr>
            <w:tcW w:w="3256" w:type="dxa"/>
            <w:tcBorders>
              <w:top w:val="single" w:sz="4" w:space="0" w:color="000000"/>
              <w:left w:val="single" w:sz="4" w:space="0" w:color="000000"/>
              <w:bottom w:val="single" w:sz="4" w:space="0" w:color="000000"/>
              <w:right w:val="single" w:sz="4" w:space="0" w:color="000000"/>
            </w:tcBorders>
            <w:vAlign w:val="bottom"/>
          </w:tcPr>
          <w:p w14:paraId="6CF4CC6D" w14:textId="77777777" w:rsidR="003D3187" w:rsidRDefault="00000000">
            <w:pPr>
              <w:spacing w:after="0" w:line="259" w:lineRule="auto"/>
              <w:ind w:left="0" w:firstLine="0"/>
            </w:pPr>
            <w:r>
              <w:rPr>
                <w:b/>
                <w:sz w:val="22"/>
              </w:rPr>
              <w:t xml:space="preserve">2025/26 Savings Ratings </w:t>
            </w:r>
          </w:p>
        </w:tc>
        <w:tc>
          <w:tcPr>
            <w:tcW w:w="141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653509C" w14:textId="77777777" w:rsidR="003D3187" w:rsidRDefault="00000000">
            <w:pPr>
              <w:spacing w:after="0" w:line="259" w:lineRule="auto"/>
              <w:ind w:left="0" w:firstLine="0"/>
            </w:pPr>
            <w:r>
              <w:rPr>
                <w:b/>
                <w:sz w:val="22"/>
              </w:rPr>
              <w:t xml:space="preserve">Yellow - At Risk  </w:t>
            </w:r>
          </w:p>
        </w:tc>
        <w:tc>
          <w:tcPr>
            <w:tcW w:w="141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5483070" w14:textId="77777777" w:rsidR="003D3187" w:rsidRDefault="00000000">
            <w:pPr>
              <w:spacing w:after="0" w:line="259" w:lineRule="auto"/>
              <w:ind w:left="0" w:firstLine="0"/>
            </w:pPr>
            <w:r>
              <w:rPr>
                <w:b/>
                <w:sz w:val="22"/>
              </w:rPr>
              <w:t xml:space="preserve">Amber - </w:t>
            </w:r>
          </w:p>
          <w:p w14:paraId="7D770243" w14:textId="77777777" w:rsidR="003D3187" w:rsidRDefault="00000000">
            <w:pPr>
              <w:spacing w:after="0" w:line="259" w:lineRule="auto"/>
              <w:ind w:left="0" w:firstLine="0"/>
            </w:pPr>
            <w:r>
              <w:rPr>
                <w:b/>
                <w:sz w:val="22"/>
              </w:rPr>
              <w:t xml:space="preserve">Delayed </w:t>
            </w:r>
          </w:p>
        </w:tc>
        <w:tc>
          <w:tcPr>
            <w:tcW w:w="141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99ED2C7" w14:textId="77777777" w:rsidR="003D3187" w:rsidRDefault="00000000">
            <w:pPr>
              <w:spacing w:after="0" w:line="259" w:lineRule="auto"/>
              <w:ind w:left="0" w:firstLine="0"/>
            </w:pPr>
            <w:r>
              <w:rPr>
                <w:b/>
                <w:sz w:val="22"/>
              </w:rPr>
              <w:t>Red Non-</w:t>
            </w:r>
          </w:p>
          <w:p w14:paraId="3D0901AC" w14:textId="77777777" w:rsidR="003D3187" w:rsidRDefault="00000000">
            <w:pPr>
              <w:spacing w:after="0" w:line="259" w:lineRule="auto"/>
              <w:ind w:left="0" w:firstLine="0"/>
            </w:pPr>
            <w:r>
              <w:rPr>
                <w:b/>
                <w:sz w:val="22"/>
              </w:rPr>
              <w:t xml:space="preserve">Delivery </w:t>
            </w:r>
          </w:p>
        </w:tc>
        <w:tc>
          <w:tcPr>
            <w:tcW w:w="1508" w:type="dxa"/>
            <w:tcBorders>
              <w:top w:val="single" w:sz="4" w:space="0" w:color="000000"/>
              <w:left w:val="single" w:sz="4" w:space="0" w:color="000000"/>
              <w:bottom w:val="single" w:sz="4" w:space="0" w:color="000000"/>
              <w:right w:val="single" w:sz="4" w:space="0" w:color="000000"/>
            </w:tcBorders>
            <w:vAlign w:val="center"/>
          </w:tcPr>
          <w:p w14:paraId="1D91F41C" w14:textId="77777777" w:rsidR="003D3187" w:rsidRDefault="00000000">
            <w:pPr>
              <w:spacing w:after="0" w:line="259" w:lineRule="auto"/>
              <w:ind w:left="0" w:firstLine="0"/>
            </w:pPr>
            <w:r>
              <w:rPr>
                <w:b/>
                <w:sz w:val="22"/>
              </w:rPr>
              <w:t xml:space="preserve">Total  </w:t>
            </w:r>
          </w:p>
        </w:tc>
      </w:tr>
      <w:tr w:rsidR="003D3187" w14:paraId="2C986ABD" w14:textId="77777777">
        <w:trPr>
          <w:trHeight w:val="315"/>
        </w:trPr>
        <w:tc>
          <w:tcPr>
            <w:tcW w:w="3256" w:type="dxa"/>
            <w:tcBorders>
              <w:top w:val="single" w:sz="4" w:space="0" w:color="000000"/>
              <w:left w:val="single" w:sz="4" w:space="0" w:color="000000"/>
              <w:bottom w:val="single" w:sz="4" w:space="0" w:color="000000"/>
              <w:right w:val="single" w:sz="8" w:space="0" w:color="000000"/>
            </w:tcBorders>
          </w:tcPr>
          <w:p w14:paraId="7992D97D" w14:textId="77777777" w:rsidR="003D3187" w:rsidRDefault="00000000">
            <w:pPr>
              <w:spacing w:after="0" w:line="259" w:lineRule="auto"/>
              <w:ind w:left="0" w:firstLine="0"/>
            </w:pPr>
            <w:r>
              <w:rPr>
                <w:sz w:val="22"/>
              </w:rPr>
              <w:t xml:space="preserve">Total Savings </w:t>
            </w:r>
          </w:p>
        </w:tc>
        <w:tc>
          <w:tcPr>
            <w:tcW w:w="1417" w:type="dxa"/>
            <w:tcBorders>
              <w:top w:val="single" w:sz="4" w:space="0" w:color="000000"/>
              <w:left w:val="single" w:sz="8" w:space="0" w:color="000000"/>
              <w:bottom w:val="single" w:sz="8" w:space="0" w:color="000000"/>
              <w:right w:val="single" w:sz="8" w:space="0" w:color="000000"/>
            </w:tcBorders>
          </w:tcPr>
          <w:p w14:paraId="11AE7D49" w14:textId="77777777" w:rsidR="003D3187" w:rsidRDefault="00000000">
            <w:pPr>
              <w:spacing w:after="0" w:line="259" w:lineRule="auto"/>
              <w:ind w:left="0" w:firstLine="0"/>
            </w:pPr>
            <w:r>
              <w:rPr>
                <w:sz w:val="22"/>
              </w:rPr>
              <w:t xml:space="preserve">(1,118,346) </w:t>
            </w:r>
          </w:p>
        </w:tc>
        <w:tc>
          <w:tcPr>
            <w:tcW w:w="1417" w:type="dxa"/>
            <w:tcBorders>
              <w:top w:val="single" w:sz="4" w:space="0" w:color="000000"/>
              <w:left w:val="single" w:sz="8" w:space="0" w:color="000000"/>
              <w:bottom w:val="single" w:sz="8" w:space="0" w:color="000000"/>
              <w:right w:val="single" w:sz="8" w:space="0" w:color="000000"/>
            </w:tcBorders>
          </w:tcPr>
          <w:p w14:paraId="6E092113" w14:textId="77777777" w:rsidR="003D3187" w:rsidRDefault="00000000">
            <w:pPr>
              <w:spacing w:after="0" w:line="259" w:lineRule="auto"/>
              <w:ind w:left="0" w:firstLine="0"/>
              <w:jc w:val="both"/>
            </w:pPr>
            <w:r>
              <w:rPr>
                <w:sz w:val="22"/>
              </w:rPr>
              <w:t xml:space="preserve">(10,468,273) </w:t>
            </w:r>
          </w:p>
        </w:tc>
        <w:tc>
          <w:tcPr>
            <w:tcW w:w="1418" w:type="dxa"/>
            <w:tcBorders>
              <w:top w:val="single" w:sz="4" w:space="0" w:color="000000"/>
              <w:left w:val="single" w:sz="8" w:space="0" w:color="000000"/>
              <w:bottom w:val="single" w:sz="8" w:space="0" w:color="000000"/>
              <w:right w:val="single" w:sz="8" w:space="0" w:color="000000"/>
            </w:tcBorders>
          </w:tcPr>
          <w:p w14:paraId="6F46C1A6" w14:textId="77777777" w:rsidR="003D3187" w:rsidRDefault="00000000">
            <w:pPr>
              <w:spacing w:after="0" w:line="259" w:lineRule="auto"/>
              <w:ind w:left="0" w:firstLine="0"/>
            </w:pPr>
            <w:r>
              <w:rPr>
                <w:sz w:val="22"/>
              </w:rPr>
              <w:t xml:space="preserve">(5,060,189) </w:t>
            </w:r>
          </w:p>
        </w:tc>
        <w:tc>
          <w:tcPr>
            <w:tcW w:w="1508" w:type="dxa"/>
            <w:tcBorders>
              <w:top w:val="single" w:sz="4" w:space="0" w:color="000000"/>
              <w:left w:val="single" w:sz="8" w:space="0" w:color="000000"/>
              <w:bottom w:val="single" w:sz="8" w:space="0" w:color="000000"/>
              <w:right w:val="single" w:sz="8" w:space="0" w:color="000000"/>
            </w:tcBorders>
          </w:tcPr>
          <w:p w14:paraId="087FDEF1" w14:textId="77777777" w:rsidR="003D3187" w:rsidRDefault="00000000">
            <w:pPr>
              <w:spacing w:after="0" w:line="259" w:lineRule="auto"/>
              <w:ind w:left="0" w:firstLine="0"/>
            </w:pPr>
            <w:r>
              <w:rPr>
                <w:sz w:val="22"/>
              </w:rPr>
              <w:t xml:space="preserve">(16,646,808) </w:t>
            </w:r>
          </w:p>
        </w:tc>
      </w:tr>
      <w:tr w:rsidR="003D3187" w14:paraId="7C108ECC" w14:textId="77777777">
        <w:trPr>
          <w:trHeight w:val="310"/>
        </w:trPr>
        <w:tc>
          <w:tcPr>
            <w:tcW w:w="3256" w:type="dxa"/>
            <w:tcBorders>
              <w:top w:val="single" w:sz="4" w:space="0" w:color="000000"/>
              <w:left w:val="single" w:sz="4" w:space="0" w:color="000000"/>
              <w:bottom w:val="single" w:sz="4" w:space="0" w:color="000000"/>
              <w:right w:val="single" w:sz="8" w:space="0" w:color="000000"/>
            </w:tcBorders>
          </w:tcPr>
          <w:p w14:paraId="6E43AE6C" w14:textId="77777777" w:rsidR="003D3187" w:rsidRDefault="00000000">
            <w:pPr>
              <w:spacing w:after="0" w:line="259" w:lineRule="auto"/>
              <w:ind w:left="0" w:firstLine="0"/>
            </w:pPr>
            <w:r>
              <w:rPr>
                <w:sz w:val="22"/>
              </w:rPr>
              <w:t xml:space="preserve">Adjustment for Over Delivery </w:t>
            </w:r>
          </w:p>
        </w:tc>
        <w:tc>
          <w:tcPr>
            <w:tcW w:w="1417" w:type="dxa"/>
            <w:tcBorders>
              <w:top w:val="single" w:sz="8" w:space="0" w:color="000000"/>
              <w:left w:val="single" w:sz="8" w:space="0" w:color="000000"/>
              <w:bottom w:val="single" w:sz="8" w:space="0" w:color="000000"/>
              <w:right w:val="single" w:sz="8" w:space="0" w:color="000000"/>
            </w:tcBorders>
          </w:tcPr>
          <w:p w14:paraId="3587564D" w14:textId="77777777" w:rsidR="003D3187" w:rsidRDefault="00000000">
            <w:pPr>
              <w:spacing w:after="0" w:line="259" w:lineRule="auto"/>
              <w:ind w:left="0" w:firstLine="0"/>
            </w:pPr>
            <w:r>
              <w:rPr>
                <w:sz w:val="22"/>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2406A58F" w14:textId="77777777" w:rsidR="003D3187" w:rsidRDefault="00000000">
            <w:pPr>
              <w:spacing w:after="0" w:line="259" w:lineRule="auto"/>
              <w:ind w:left="0" w:firstLine="0"/>
            </w:pPr>
            <w:r>
              <w:rPr>
                <w:sz w:val="22"/>
              </w:rPr>
              <w:t xml:space="preserve">  </w:t>
            </w:r>
          </w:p>
        </w:tc>
        <w:tc>
          <w:tcPr>
            <w:tcW w:w="1418" w:type="dxa"/>
            <w:tcBorders>
              <w:top w:val="single" w:sz="8" w:space="0" w:color="000000"/>
              <w:left w:val="single" w:sz="8" w:space="0" w:color="000000"/>
              <w:bottom w:val="single" w:sz="8" w:space="0" w:color="000000"/>
              <w:right w:val="single" w:sz="8" w:space="0" w:color="000000"/>
            </w:tcBorders>
          </w:tcPr>
          <w:p w14:paraId="2E0A33C5" w14:textId="77777777" w:rsidR="003D3187" w:rsidRDefault="00000000">
            <w:pPr>
              <w:spacing w:after="0" w:line="259" w:lineRule="auto"/>
              <w:ind w:left="0" w:firstLine="0"/>
            </w:pPr>
            <w:r>
              <w:rPr>
                <w:sz w:val="22"/>
              </w:rPr>
              <w:t xml:space="preserve">2,077,189 </w:t>
            </w:r>
          </w:p>
        </w:tc>
        <w:tc>
          <w:tcPr>
            <w:tcW w:w="1508" w:type="dxa"/>
            <w:tcBorders>
              <w:top w:val="single" w:sz="8" w:space="0" w:color="000000"/>
              <w:left w:val="single" w:sz="8" w:space="0" w:color="000000"/>
              <w:bottom w:val="single" w:sz="8" w:space="0" w:color="000000"/>
              <w:right w:val="single" w:sz="8" w:space="0" w:color="000000"/>
            </w:tcBorders>
          </w:tcPr>
          <w:p w14:paraId="5870D7B8" w14:textId="77777777" w:rsidR="003D3187" w:rsidRDefault="00000000">
            <w:pPr>
              <w:spacing w:after="0" w:line="259" w:lineRule="auto"/>
              <w:ind w:left="0" w:firstLine="0"/>
            </w:pPr>
            <w:r>
              <w:rPr>
                <w:sz w:val="22"/>
              </w:rPr>
              <w:t xml:space="preserve">2,077,189 </w:t>
            </w:r>
          </w:p>
        </w:tc>
      </w:tr>
      <w:tr w:rsidR="003D3187" w14:paraId="5CF07E3F" w14:textId="77777777">
        <w:trPr>
          <w:trHeight w:val="546"/>
        </w:trPr>
        <w:tc>
          <w:tcPr>
            <w:tcW w:w="3256" w:type="dxa"/>
            <w:tcBorders>
              <w:top w:val="single" w:sz="4" w:space="0" w:color="000000"/>
              <w:left w:val="single" w:sz="4" w:space="0" w:color="000000"/>
              <w:bottom w:val="single" w:sz="4" w:space="0" w:color="000000"/>
              <w:right w:val="single" w:sz="8" w:space="0" w:color="000000"/>
            </w:tcBorders>
          </w:tcPr>
          <w:p w14:paraId="224329F6" w14:textId="77777777" w:rsidR="003D3187" w:rsidRDefault="00000000">
            <w:pPr>
              <w:spacing w:after="0" w:line="259" w:lineRule="auto"/>
              <w:ind w:left="0" w:firstLine="0"/>
            </w:pPr>
            <w:r>
              <w:rPr>
                <w:sz w:val="22"/>
              </w:rPr>
              <w:t xml:space="preserve">Adjustment for Savings Written Out </w:t>
            </w:r>
          </w:p>
        </w:tc>
        <w:tc>
          <w:tcPr>
            <w:tcW w:w="1417" w:type="dxa"/>
            <w:tcBorders>
              <w:top w:val="single" w:sz="8" w:space="0" w:color="000000"/>
              <w:left w:val="single" w:sz="8" w:space="0" w:color="000000"/>
              <w:bottom w:val="single" w:sz="8" w:space="0" w:color="000000"/>
              <w:right w:val="single" w:sz="8" w:space="0" w:color="000000"/>
            </w:tcBorders>
            <w:vAlign w:val="center"/>
          </w:tcPr>
          <w:p w14:paraId="05AD93F8" w14:textId="77777777" w:rsidR="003D3187" w:rsidRDefault="00000000">
            <w:pPr>
              <w:spacing w:after="0" w:line="259" w:lineRule="auto"/>
              <w:ind w:left="0" w:firstLine="0"/>
            </w:pPr>
            <w:r>
              <w:rPr>
                <w:sz w:val="22"/>
              </w:rPr>
              <w:t xml:space="preserve">  </w:t>
            </w:r>
          </w:p>
        </w:tc>
        <w:tc>
          <w:tcPr>
            <w:tcW w:w="1417" w:type="dxa"/>
            <w:tcBorders>
              <w:top w:val="single" w:sz="8" w:space="0" w:color="000000"/>
              <w:left w:val="single" w:sz="8" w:space="0" w:color="000000"/>
              <w:bottom w:val="single" w:sz="8" w:space="0" w:color="000000"/>
              <w:right w:val="single" w:sz="8" w:space="0" w:color="000000"/>
            </w:tcBorders>
            <w:vAlign w:val="center"/>
          </w:tcPr>
          <w:p w14:paraId="6F123D26" w14:textId="77777777" w:rsidR="003D3187" w:rsidRDefault="00000000">
            <w:pPr>
              <w:spacing w:after="0" w:line="259" w:lineRule="auto"/>
              <w:ind w:left="0" w:firstLine="0"/>
            </w:pPr>
            <w:r>
              <w:rPr>
                <w:sz w:val="22"/>
              </w:rPr>
              <w:t xml:space="preserve">  </w:t>
            </w:r>
          </w:p>
        </w:tc>
        <w:tc>
          <w:tcPr>
            <w:tcW w:w="1418" w:type="dxa"/>
            <w:tcBorders>
              <w:top w:val="single" w:sz="8" w:space="0" w:color="000000"/>
              <w:left w:val="single" w:sz="8" w:space="0" w:color="000000"/>
              <w:bottom w:val="single" w:sz="8" w:space="0" w:color="000000"/>
              <w:right w:val="single" w:sz="8" w:space="0" w:color="000000"/>
            </w:tcBorders>
            <w:vAlign w:val="center"/>
          </w:tcPr>
          <w:p w14:paraId="29C0D384" w14:textId="77777777" w:rsidR="003D3187" w:rsidRDefault="00000000">
            <w:pPr>
              <w:spacing w:after="0" w:line="259" w:lineRule="auto"/>
              <w:ind w:left="0" w:firstLine="0"/>
            </w:pPr>
            <w:r>
              <w:rPr>
                <w:sz w:val="22"/>
              </w:rPr>
              <w:t xml:space="preserve">2,100,000 </w:t>
            </w:r>
          </w:p>
        </w:tc>
        <w:tc>
          <w:tcPr>
            <w:tcW w:w="1508" w:type="dxa"/>
            <w:tcBorders>
              <w:top w:val="single" w:sz="8" w:space="0" w:color="000000"/>
              <w:left w:val="single" w:sz="8" w:space="0" w:color="000000"/>
              <w:bottom w:val="single" w:sz="8" w:space="0" w:color="000000"/>
              <w:right w:val="single" w:sz="8" w:space="0" w:color="000000"/>
            </w:tcBorders>
            <w:vAlign w:val="center"/>
          </w:tcPr>
          <w:p w14:paraId="657F3A67" w14:textId="77777777" w:rsidR="003D3187" w:rsidRDefault="00000000">
            <w:pPr>
              <w:spacing w:after="0" w:line="259" w:lineRule="auto"/>
              <w:ind w:left="0" w:firstLine="0"/>
            </w:pPr>
            <w:r>
              <w:rPr>
                <w:sz w:val="22"/>
              </w:rPr>
              <w:t xml:space="preserve">2,100,000 </w:t>
            </w:r>
          </w:p>
        </w:tc>
      </w:tr>
      <w:tr w:rsidR="003D3187" w14:paraId="119619D3" w14:textId="77777777">
        <w:trPr>
          <w:trHeight w:val="546"/>
        </w:trPr>
        <w:tc>
          <w:tcPr>
            <w:tcW w:w="3256" w:type="dxa"/>
            <w:tcBorders>
              <w:top w:val="single" w:sz="4" w:space="0" w:color="000000"/>
              <w:left w:val="single" w:sz="4" w:space="0" w:color="000000"/>
              <w:bottom w:val="single" w:sz="4" w:space="0" w:color="000000"/>
              <w:right w:val="single" w:sz="8" w:space="0" w:color="000000"/>
            </w:tcBorders>
          </w:tcPr>
          <w:p w14:paraId="11282842" w14:textId="77777777" w:rsidR="003D3187" w:rsidRDefault="00000000">
            <w:pPr>
              <w:spacing w:after="0" w:line="259" w:lineRule="auto"/>
              <w:ind w:left="0" w:firstLine="0"/>
            </w:pPr>
            <w:r>
              <w:rPr>
                <w:b/>
                <w:sz w:val="22"/>
              </w:rPr>
              <w:t xml:space="preserve">Revised Savings Target to Deliver to fund base budget </w:t>
            </w:r>
          </w:p>
        </w:tc>
        <w:tc>
          <w:tcPr>
            <w:tcW w:w="1417" w:type="dxa"/>
            <w:tcBorders>
              <w:top w:val="single" w:sz="8" w:space="0" w:color="000000"/>
              <w:left w:val="single" w:sz="8" w:space="0" w:color="000000"/>
              <w:bottom w:val="single" w:sz="8" w:space="0" w:color="000000"/>
              <w:right w:val="single" w:sz="8" w:space="0" w:color="000000"/>
            </w:tcBorders>
            <w:vAlign w:val="center"/>
          </w:tcPr>
          <w:p w14:paraId="4C9D18A2" w14:textId="77777777" w:rsidR="003D3187" w:rsidRDefault="00000000">
            <w:pPr>
              <w:spacing w:after="0" w:line="259" w:lineRule="auto"/>
              <w:ind w:left="0" w:firstLine="0"/>
            </w:pPr>
            <w:r>
              <w:rPr>
                <w:b/>
                <w:sz w:val="22"/>
              </w:rPr>
              <w:t xml:space="preserve">(1,118,346) </w:t>
            </w:r>
          </w:p>
        </w:tc>
        <w:tc>
          <w:tcPr>
            <w:tcW w:w="1417" w:type="dxa"/>
            <w:tcBorders>
              <w:top w:val="single" w:sz="8" w:space="0" w:color="000000"/>
              <w:left w:val="single" w:sz="8" w:space="0" w:color="000000"/>
              <w:bottom w:val="single" w:sz="8" w:space="0" w:color="000000"/>
              <w:right w:val="single" w:sz="8" w:space="0" w:color="000000"/>
            </w:tcBorders>
            <w:vAlign w:val="center"/>
          </w:tcPr>
          <w:p w14:paraId="41C6E295" w14:textId="77777777" w:rsidR="003D3187" w:rsidRDefault="00000000">
            <w:pPr>
              <w:spacing w:after="0" w:line="259" w:lineRule="auto"/>
              <w:ind w:left="0" w:firstLine="0"/>
              <w:jc w:val="both"/>
            </w:pPr>
            <w:r>
              <w:rPr>
                <w:b/>
                <w:sz w:val="22"/>
              </w:rPr>
              <w:t xml:space="preserve">(10,468,273) </w:t>
            </w:r>
          </w:p>
        </w:tc>
        <w:tc>
          <w:tcPr>
            <w:tcW w:w="1418" w:type="dxa"/>
            <w:tcBorders>
              <w:top w:val="single" w:sz="8" w:space="0" w:color="000000"/>
              <w:left w:val="single" w:sz="8" w:space="0" w:color="000000"/>
              <w:bottom w:val="single" w:sz="8" w:space="0" w:color="000000"/>
              <w:right w:val="single" w:sz="8" w:space="0" w:color="000000"/>
            </w:tcBorders>
            <w:vAlign w:val="center"/>
          </w:tcPr>
          <w:p w14:paraId="05EF3EE8" w14:textId="77777777" w:rsidR="003D3187" w:rsidRDefault="00000000">
            <w:pPr>
              <w:spacing w:after="0" w:line="259" w:lineRule="auto"/>
              <w:ind w:left="0" w:firstLine="0"/>
            </w:pPr>
            <w:r>
              <w:rPr>
                <w:b/>
                <w:sz w:val="22"/>
              </w:rPr>
              <w:t xml:space="preserve">(883,000) </w:t>
            </w:r>
          </w:p>
        </w:tc>
        <w:tc>
          <w:tcPr>
            <w:tcW w:w="1508" w:type="dxa"/>
            <w:tcBorders>
              <w:top w:val="single" w:sz="8" w:space="0" w:color="000000"/>
              <w:left w:val="single" w:sz="8" w:space="0" w:color="000000"/>
              <w:bottom w:val="single" w:sz="8" w:space="0" w:color="000000"/>
              <w:right w:val="single" w:sz="8" w:space="0" w:color="000000"/>
            </w:tcBorders>
            <w:vAlign w:val="center"/>
          </w:tcPr>
          <w:p w14:paraId="464CF66A" w14:textId="77777777" w:rsidR="003D3187" w:rsidRDefault="00000000">
            <w:pPr>
              <w:spacing w:after="0" w:line="259" w:lineRule="auto"/>
              <w:ind w:left="0" w:firstLine="0"/>
            </w:pPr>
            <w:r>
              <w:rPr>
                <w:b/>
                <w:sz w:val="22"/>
              </w:rPr>
              <w:t xml:space="preserve">(12,469,619) </w:t>
            </w:r>
          </w:p>
        </w:tc>
      </w:tr>
      <w:tr w:rsidR="003D3187" w14:paraId="178FA9DC" w14:textId="77777777">
        <w:trPr>
          <w:trHeight w:val="316"/>
        </w:trPr>
        <w:tc>
          <w:tcPr>
            <w:tcW w:w="3256" w:type="dxa"/>
            <w:tcBorders>
              <w:top w:val="single" w:sz="4" w:space="0" w:color="000000"/>
              <w:left w:val="single" w:sz="4" w:space="0" w:color="000000"/>
              <w:bottom w:val="single" w:sz="4" w:space="0" w:color="000000"/>
              <w:right w:val="single" w:sz="8" w:space="0" w:color="000000"/>
            </w:tcBorders>
          </w:tcPr>
          <w:p w14:paraId="46697AE9" w14:textId="77777777" w:rsidR="003D3187" w:rsidRDefault="00000000">
            <w:pPr>
              <w:spacing w:after="0" w:line="259" w:lineRule="auto"/>
              <w:ind w:left="0" w:firstLine="0"/>
            </w:pPr>
            <w:r>
              <w:rPr>
                <w:sz w:val="22"/>
              </w:rPr>
              <w:t xml:space="preserve">Risk Adjustment Factor </w:t>
            </w:r>
          </w:p>
        </w:tc>
        <w:tc>
          <w:tcPr>
            <w:tcW w:w="1417" w:type="dxa"/>
            <w:tcBorders>
              <w:top w:val="single" w:sz="8" w:space="0" w:color="000000"/>
              <w:left w:val="single" w:sz="8" w:space="0" w:color="000000"/>
              <w:bottom w:val="single" w:sz="8" w:space="0" w:color="000000"/>
              <w:right w:val="single" w:sz="8" w:space="0" w:color="000000"/>
            </w:tcBorders>
          </w:tcPr>
          <w:p w14:paraId="579D0C84" w14:textId="77777777" w:rsidR="003D3187" w:rsidRDefault="00000000">
            <w:pPr>
              <w:spacing w:after="0" w:line="259" w:lineRule="auto"/>
              <w:ind w:left="0" w:firstLine="0"/>
            </w:pPr>
            <w:r>
              <w:rPr>
                <w:sz w:val="22"/>
              </w:rPr>
              <w:t xml:space="preserve">5% </w:t>
            </w:r>
          </w:p>
        </w:tc>
        <w:tc>
          <w:tcPr>
            <w:tcW w:w="1417" w:type="dxa"/>
            <w:tcBorders>
              <w:top w:val="single" w:sz="8" w:space="0" w:color="000000"/>
              <w:left w:val="single" w:sz="8" w:space="0" w:color="000000"/>
              <w:bottom w:val="single" w:sz="8" w:space="0" w:color="000000"/>
              <w:right w:val="single" w:sz="8" w:space="0" w:color="000000"/>
            </w:tcBorders>
          </w:tcPr>
          <w:p w14:paraId="3EF615EB" w14:textId="77777777" w:rsidR="003D3187" w:rsidRDefault="00000000">
            <w:pPr>
              <w:spacing w:after="0" w:line="259" w:lineRule="auto"/>
              <w:ind w:left="0" w:firstLine="0"/>
            </w:pPr>
            <w:r>
              <w:rPr>
                <w:sz w:val="22"/>
              </w:rPr>
              <w:t xml:space="preserve">25% </w:t>
            </w:r>
          </w:p>
        </w:tc>
        <w:tc>
          <w:tcPr>
            <w:tcW w:w="1418" w:type="dxa"/>
            <w:tcBorders>
              <w:top w:val="single" w:sz="8" w:space="0" w:color="000000"/>
              <w:left w:val="single" w:sz="8" w:space="0" w:color="000000"/>
              <w:bottom w:val="single" w:sz="8" w:space="0" w:color="000000"/>
              <w:right w:val="single" w:sz="8" w:space="0" w:color="000000"/>
            </w:tcBorders>
          </w:tcPr>
          <w:p w14:paraId="01B3BCC7" w14:textId="77777777" w:rsidR="003D3187" w:rsidRDefault="00000000">
            <w:pPr>
              <w:spacing w:after="0" w:line="259" w:lineRule="auto"/>
              <w:ind w:left="0" w:firstLine="0"/>
            </w:pPr>
            <w:r>
              <w:rPr>
                <w:sz w:val="22"/>
              </w:rPr>
              <w:t xml:space="preserve">100% </w:t>
            </w:r>
          </w:p>
        </w:tc>
        <w:tc>
          <w:tcPr>
            <w:tcW w:w="1508" w:type="dxa"/>
            <w:tcBorders>
              <w:top w:val="single" w:sz="8" w:space="0" w:color="000000"/>
              <w:left w:val="single" w:sz="8" w:space="0" w:color="000000"/>
              <w:bottom w:val="single" w:sz="8" w:space="0" w:color="000000"/>
              <w:right w:val="single" w:sz="8" w:space="0" w:color="000000"/>
            </w:tcBorders>
          </w:tcPr>
          <w:p w14:paraId="675DE10D" w14:textId="77777777" w:rsidR="003D3187" w:rsidRDefault="00000000">
            <w:pPr>
              <w:spacing w:after="0" w:line="259" w:lineRule="auto"/>
              <w:ind w:left="0" w:firstLine="0"/>
            </w:pPr>
            <w:r>
              <w:t>29%</w:t>
            </w:r>
            <w:r>
              <w:rPr>
                <w:sz w:val="22"/>
              </w:rPr>
              <w:t xml:space="preserve"> </w:t>
            </w:r>
          </w:p>
        </w:tc>
      </w:tr>
      <w:tr w:rsidR="003D3187" w14:paraId="4C90F040" w14:textId="77777777">
        <w:trPr>
          <w:trHeight w:val="621"/>
        </w:trPr>
        <w:tc>
          <w:tcPr>
            <w:tcW w:w="3256" w:type="dxa"/>
            <w:tcBorders>
              <w:top w:val="single" w:sz="4" w:space="0" w:color="000000"/>
              <w:left w:val="single" w:sz="4" w:space="0" w:color="000000"/>
              <w:bottom w:val="single" w:sz="4" w:space="0" w:color="000000"/>
              <w:right w:val="single" w:sz="4" w:space="0" w:color="000000"/>
            </w:tcBorders>
            <w:vAlign w:val="bottom"/>
          </w:tcPr>
          <w:p w14:paraId="7D742A3F" w14:textId="77777777" w:rsidR="003D3187" w:rsidRDefault="00000000">
            <w:pPr>
              <w:spacing w:after="0" w:line="259" w:lineRule="auto"/>
              <w:ind w:left="0" w:firstLine="0"/>
            </w:pPr>
            <w:r>
              <w:rPr>
                <w:b/>
                <w:sz w:val="22"/>
              </w:rPr>
              <w:t xml:space="preserve">Contingency Required </w:t>
            </w:r>
          </w:p>
        </w:tc>
        <w:tc>
          <w:tcPr>
            <w:tcW w:w="1417" w:type="dxa"/>
            <w:tcBorders>
              <w:top w:val="single" w:sz="8" w:space="0" w:color="000000"/>
              <w:left w:val="single" w:sz="4" w:space="0" w:color="000000"/>
              <w:bottom w:val="single" w:sz="4" w:space="0" w:color="000000"/>
              <w:right w:val="single" w:sz="4" w:space="0" w:color="000000"/>
            </w:tcBorders>
            <w:vAlign w:val="bottom"/>
          </w:tcPr>
          <w:p w14:paraId="6C859E1B" w14:textId="77777777" w:rsidR="003D3187" w:rsidRDefault="00000000">
            <w:pPr>
              <w:spacing w:after="0" w:line="259" w:lineRule="auto"/>
              <w:ind w:left="0" w:firstLine="0"/>
            </w:pPr>
            <w:r>
              <w:rPr>
                <w:b/>
                <w:sz w:val="22"/>
              </w:rPr>
              <w:t xml:space="preserve">55,917 </w:t>
            </w:r>
          </w:p>
        </w:tc>
        <w:tc>
          <w:tcPr>
            <w:tcW w:w="1417" w:type="dxa"/>
            <w:tcBorders>
              <w:top w:val="single" w:sz="8" w:space="0" w:color="000000"/>
              <w:left w:val="single" w:sz="4" w:space="0" w:color="000000"/>
              <w:bottom w:val="single" w:sz="4" w:space="0" w:color="000000"/>
              <w:right w:val="single" w:sz="4" w:space="0" w:color="000000"/>
            </w:tcBorders>
            <w:vAlign w:val="bottom"/>
          </w:tcPr>
          <w:p w14:paraId="5D0F6F50" w14:textId="77777777" w:rsidR="003D3187" w:rsidRDefault="00000000">
            <w:pPr>
              <w:spacing w:after="0" w:line="259" w:lineRule="auto"/>
              <w:ind w:left="0" w:firstLine="0"/>
            </w:pPr>
            <w:r>
              <w:rPr>
                <w:b/>
                <w:sz w:val="22"/>
              </w:rPr>
              <w:t xml:space="preserve">2,617,068 </w:t>
            </w:r>
          </w:p>
        </w:tc>
        <w:tc>
          <w:tcPr>
            <w:tcW w:w="1418" w:type="dxa"/>
            <w:tcBorders>
              <w:top w:val="single" w:sz="8" w:space="0" w:color="000000"/>
              <w:left w:val="single" w:sz="4" w:space="0" w:color="000000"/>
              <w:bottom w:val="single" w:sz="4" w:space="0" w:color="000000"/>
              <w:right w:val="single" w:sz="4" w:space="0" w:color="000000"/>
            </w:tcBorders>
            <w:vAlign w:val="bottom"/>
          </w:tcPr>
          <w:p w14:paraId="342E337E" w14:textId="77777777" w:rsidR="003D3187" w:rsidRDefault="00000000">
            <w:pPr>
              <w:spacing w:after="0" w:line="259" w:lineRule="auto"/>
              <w:ind w:left="0" w:firstLine="0"/>
            </w:pPr>
            <w:r>
              <w:rPr>
                <w:b/>
                <w:sz w:val="22"/>
              </w:rPr>
              <w:t xml:space="preserve">883,000 </w:t>
            </w:r>
          </w:p>
        </w:tc>
        <w:tc>
          <w:tcPr>
            <w:tcW w:w="1508" w:type="dxa"/>
            <w:tcBorders>
              <w:top w:val="single" w:sz="8" w:space="0" w:color="000000"/>
              <w:left w:val="single" w:sz="4" w:space="0" w:color="000000"/>
              <w:bottom w:val="single" w:sz="4" w:space="0" w:color="000000"/>
              <w:right w:val="single" w:sz="4" w:space="0" w:color="000000"/>
            </w:tcBorders>
            <w:vAlign w:val="bottom"/>
          </w:tcPr>
          <w:p w14:paraId="6B7A4409" w14:textId="77777777" w:rsidR="003D3187" w:rsidRDefault="00000000">
            <w:pPr>
              <w:spacing w:after="0" w:line="259" w:lineRule="auto"/>
              <w:ind w:left="0" w:firstLine="0"/>
            </w:pPr>
            <w:r>
              <w:rPr>
                <w:b/>
                <w:sz w:val="22"/>
              </w:rPr>
              <w:t xml:space="preserve">3,555,986 </w:t>
            </w:r>
          </w:p>
        </w:tc>
      </w:tr>
    </w:tbl>
    <w:p w14:paraId="6F5D9F23" w14:textId="77777777" w:rsidR="003D3187" w:rsidRDefault="00000000">
      <w:pPr>
        <w:spacing w:after="0" w:line="259" w:lineRule="auto"/>
        <w:ind w:left="207" w:firstLine="0"/>
      </w:pPr>
      <w:r>
        <w:t xml:space="preserve"> </w:t>
      </w:r>
    </w:p>
    <w:p w14:paraId="75AF0463" w14:textId="77777777" w:rsidR="003D3187" w:rsidRDefault="00000000">
      <w:pPr>
        <w:spacing w:after="10"/>
        <w:ind w:right="752"/>
      </w:pPr>
      <w:r>
        <w:t xml:space="preserve">2.4 A similar albeit more granular risk assessment has been carried out for 2026/27 previously agreed savings and proposed 2026/27 savings.  This has led to the requirement of £4.889m contingency against previously agreed 2026/27 savings and £3.128m contingency against proposed 2026/27 savings. This leads to an overall £11.574m contingency requirement. </w:t>
      </w:r>
    </w:p>
    <w:tbl>
      <w:tblPr>
        <w:tblStyle w:val="TableGrid"/>
        <w:tblW w:w="8517" w:type="dxa"/>
        <w:tblInd w:w="212" w:type="dxa"/>
        <w:tblCellMar>
          <w:top w:w="99" w:type="dxa"/>
          <w:left w:w="108" w:type="dxa"/>
          <w:bottom w:w="20" w:type="dxa"/>
          <w:right w:w="115" w:type="dxa"/>
        </w:tblCellMar>
        <w:tblLook w:val="04A0" w:firstRow="1" w:lastRow="0" w:firstColumn="1" w:lastColumn="0" w:noHBand="0" w:noVBand="1"/>
      </w:tblPr>
      <w:tblGrid>
        <w:gridCol w:w="3390"/>
        <w:gridCol w:w="5127"/>
      </w:tblGrid>
      <w:tr w:rsidR="003D3187" w14:paraId="61A213C0" w14:textId="77777777">
        <w:trPr>
          <w:trHeight w:val="358"/>
        </w:trPr>
        <w:tc>
          <w:tcPr>
            <w:tcW w:w="3390" w:type="dxa"/>
            <w:tcBorders>
              <w:top w:val="single" w:sz="4" w:space="0" w:color="000000"/>
              <w:left w:val="single" w:sz="4" w:space="0" w:color="000000"/>
              <w:bottom w:val="single" w:sz="4" w:space="0" w:color="000000"/>
              <w:right w:val="single" w:sz="4" w:space="0" w:color="000000"/>
            </w:tcBorders>
          </w:tcPr>
          <w:p w14:paraId="564841C6" w14:textId="77777777" w:rsidR="003D3187" w:rsidRDefault="00000000">
            <w:pPr>
              <w:spacing w:after="0" w:line="259" w:lineRule="auto"/>
              <w:ind w:left="0" w:firstLine="0"/>
            </w:pPr>
            <w:r>
              <w:rPr>
                <w:b/>
                <w:sz w:val="22"/>
              </w:rPr>
              <w:t xml:space="preserve">Saving Tranche </w:t>
            </w:r>
          </w:p>
        </w:tc>
        <w:tc>
          <w:tcPr>
            <w:tcW w:w="5127" w:type="dxa"/>
            <w:tcBorders>
              <w:top w:val="single" w:sz="4" w:space="0" w:color="000000"/>
              <w:left w:val="single" w:sz="4" w:space="0" w:color="000000"/>
              <w:bottom w:val="single" w:sz="4" w:space="0" w:color="000000"/>
              <w:right w:val="single" w:sz="4" w:space="0" w:color="000000"/>
            </w:tcBorders>
            <w:vAlign w:val="bottom"/>
          </w:tcPr>
          <w:p w14:paraId="2D1033DB" w14:textId="77777777" w:rsidR="003D3187" w:rsidRDefault="00000000">
            <w:pPr>
              <w:spacing w:after="0" w:line="259" w:lineRule="auto"/>
              <w:ind w:left="0" w:firstLine="0"/>
            </w:pPr>
            <w:r>
              <w:rPr>
                <w:b/>
                <w:sz w:val="22"/>
              </w:rPr>
              <w:t xml:space="preserve">Contingency 2026/27 Budget Requirement </w:t>
            </w:r>
          </w:p>
        </w:tc>
      </w:tr>
      <w:tr w:rsidR="003D3187" w14:paraId="02DDC4AA" w14:textId="77777777">
        <w:trPr>
          <w:trHeight w:val="358"/>
        </w:trPr>
        <w:tc>
          <w:tcPr>
            <w:tcW w:w="3390" w:type="dxa"/>
            <w:tcBorders>
              <w:top w:val="single" w:sz="4" w:space="0" w:color="000000"/>
              <w:left w:val="single" w:sz="4" w:space="0" w:color="000000"/>
              <w:bottom w:val="single" w:sz="4" w:space="0" w:color="000000"/>
              <w:right w:val="single" w:sz="4" w:space="0" w:color="000000"/>
            </w:tcBorders>
          </w:tcPr>
          <w:p w14:paraId="21DC999F" w14:textId="77777777" w:rsidR="003D3187" w:rsidRDefault="00000000">
            <w:pPr>
              <w:spacing w:after="0" w:line="259" w:lineRule="auto"/>
              <w:ind w:left="0" w:firstLine="0"/>
            </w:pPr>
            <w:r>
              <w:rPr>
                <w:sz w:val="22"/>
              </w:rPr>
              <w:t xml:space="preserve">2025/26 </w:t>
            </w:r>
          </w:p>
        </w:tc>
        <w:tc>
          <w:tcPr>
            <w:tcW w:w="5127" w:type="dxa"/>
            <w:tcBorders>
              <w:top w:val="single" w:sz="4" w:space="0" w:color="000000"/>
              <w:left w:val="single" w:sz="4" w:space="0" w:color="000000"/>
              <w:bottom w:val="single" w:sz="4" w:space="0" w:color="000000"/>
              <w:right w:val="single" w:sz="4" w:space="0" w:color="000000"/>
            </w:tcBorders>
            <w:vAlign w:val="bottom"/>
          </w:tcPr>
          <w:p w14:paraId="26FE3FAE" w14:textId="77777777" w:rsidR="003D3187" w:rsidRDefault="00000000">
            <w:pPr>
              <w:spacing w:after="0" w:line="259" w:lineRule="auto"/>
              <w:ind w:left="0" w:firstLine="0"/>
            </w:pPr>
            <w:r>
              <w:rPr>
                <w:sz w:val="22"/>
              </w:rPr>
              <w:t xml:space="preserve">3,555,986 </w:t>
            </w:r>
          </w:p>
        </w:tc>
      </w:tr>
      <w:tr w:rsidR="003D3187" w14:paraId="5073EC09" w14:textId="77777777">
        <w:trPr>
          <w:trHeight w:val="358"/>
        </w:trPr>
        <w:tc>
          <w:tcPr>
            <w:tcW w:w="3390" w:type="dxa"/>
            <w:tcBorders>
              <w:top w:val="single" w:sz="4" w:space="0" w:color="000000"/>
              <w:left w:val="single" w:sz="4" w:space="0" w:color="000000"/>
              <w:bottom w:val="single" w:sz="4" w:space="0" w:color="000000"/>
              <w:right w:val="single" w:sz="4" w:space="0" w:color="000000"/>
            </w:tcBorders>
          </w:tcPr>
          <w:p w14:paraId="10CE680E" w14:textId="77777777" w:rsidR="003D3187" w:rsidRDefault="00000000">
            <w:pPr>
              <w:spacing w:after="0" w:line="259" w:lineRule="auto"/>
              <w:ind w:left="0" w:firstLine="0"/>
            </w:pPr>
            <w:r>
              <w:rPr>
                <w:sz w:val="22"/>
              </w:rPr>
              <w:t xml:space="preserve">2026/27 Existing savings </w:t>
            </w:r>
          </w:p>
        </w:tc>
        <w:tc>
          <w:tcPr>
            <w:tcW w:w="5127" w:type="dxa"/>
            <w:tcBorders>
              <w:top w:val="single" w:sz="4" w:space="0" w:color="000000"/>
              <w:left w:val="single" w:sz="4" w:space="0" w:color="000000"/>
              <w:bottom w:val="single" w:sz="4" w:space="0" w:color="000000"/>
              <w:right w:val="single" w:sz="4" w:space="0" w:color="000000"/>
            </w:tcBorders>
            <w:vAlign w:val="bottom"/>
          </w:tcPr>
          <w:p w14:paraId="597AA0B4" w14:textId="77777777" w:rsidR="003D3187" w:rsidRDefault="00000000">
            <w:pPr>
              <w:spacing w:after="0" w:line="259" w:lineRule="auto"/>
              <w:ind w:left="0" w:firstLine="0"/>
            </w:pPr>
            <w:r>
              <w:rPr>
                <w:sz w:val="22"/>
              </w:rPr>
              <w:t xml:space="preserve">4,889,324 </w:t>
            </w:r>
          </w:p>
        </w:tc>
      </w:tr>
      <w:tr w:rsidR="003D3187" w14:paraId="7F7A0049" w14:textId="77777777">
        <w:trPr>
          <w:trHeight w:val="358"/>
        </w:trPr>
        <w:tc>
          <w:tcPr>
            <w:tcW w:w="3390" w:type="dxa"/>
            <w:tcBorders>
              <w:top w:val="single" w:sz="4" w:space="0" w:color="000000"/>
              <w:left w:val="single" w:sz="4" w:space="0" w:color="000000"/>
              <w:bottom w:val="single" w:sz="4" w:space="0" w:color="000000"/>
              <w:right w:val="single" w:sz="4" w:space="0" w:color="000000"/>
            </w:tcBorders>
          </w:tcPr>
          <w:p w14:paraId="0A32FC86" w14:textId="77777777" w:rsidR="003D3187" w:rsidRDefault="00000000">
            <w:pPr>
              <w:spacing w:after="0" w:line="259" w:lineRule="auto"/>
              <w:ind w:left="0" w:firstLine="0"/>
            </w:pPr>
            <w:r>
              <w:rPr>
                <w:sz w:val="22"/>
              </w:rPr>
              <w:t xml:space="preserve">2026/27 New savings </w:t>
            </w:r>
          </w:p>
        </w:tc>
        <w:tc>
          <w:tcPr>
            <w:tcW w:w="5127" w:type="dxa"/>
            <w:tcBorders>
              <w:top w:val="single" w:sz="4" w:space="0" w:color="000000"/>
              <w:left w:val="single" w:sz="4" w:space="0" w:color="000000"/>
              <w:bottom w:val="single" w:sz="4" w:space="0" w:color="000000"/>
              <w:right w:val="single" w:sz="4" w:space="0" w:color="000000"/>
            </w:tcBorders>
            <w:vAlign w:val="bottom"/>
          </w:tcPr>
          <w:p w14:paraId="610E5FB1" w14:textId="77777777" w:rsidR="003D3187" w:rsidRDefault="00000000">
            <w:pPr>
              <w:spacing w:after="0" w:line="259" w:lineRule="auto"/>
              <w:ind w:left="0" w:firstLine="0"/>
            </w:pPr>
            <w:r>
              <w:rPr>
                <w:sz w:val="22"/>
              </w:rPr>
              <w:t xml:space="preserve">3,128,250 </w:t>
            </w:r>
          </w:p>
        </w:tc>
      </w:tr>
      <w:tr w:rsidR="003D3187" w14:paraId="76A78A0C" w14:textId="77777777">
        <w:trPr>
          <w:trHeight w:val="358"/>
        </w:trPr>
        <w:tc>
          <w:tcPr>
            <w:tcW w:w="3390" w:type="dxa"/>
            <w:tcBorders>
              <w:top w:val="single" w:sz="4" w:space="0" w:color="000000"/>
              <w:left w:val="single" w:sz="4" w:space="0" w:color="000000"/>
              <w:bottom w:val="single" w:sz="4" w:space="0" w:color="000000"/>
              <w:right w:val="single" w:sz="4" w:space="0" w:color="000000"/>
            </w:tcBorders>
            <w:vAlign w:val="bottom"/>
          </w:tcPr>
          <w:p w14:paraId="0669DB72" w14:textId="77777777" w:rsidR="003D3187" w:rsidRDefault="00000000">
            <w:pPr>
              <w:spacing w:after="0" w:line="259" w:lineRule="auto"/>
              <w:ind w:left="0" w:firstLine="0"/>
            </w:pPr>
            <w:r>
              <w:rPr>
                <w:b/>
                <w:sz w:val="22"/>
              </w:rPr>
              <w:t xml:space="preserve">Total </w:t>
            </w:r>
          </w:p>
        </w:tc>
        <w:tc>
          <w:tcPr>
            <w:tcW w:w="5127" w:type="dxa"/>
            <w:tcBorders>
              <w:top w:val="single" w:sz="4" w:space="0" w:color="000000"/>
              <w:left w:val="single" w:sz="4" w:space="0" w:color="000000"/>
              <w:bottom w:val="single" w:sz="4" w:space="0" w:color="000000"/>
              <w:right w:val="single" w:sz="4" w:space="0" w:color="000000"/>
            </w:tcBorders>
            <w:vAlign w:val="bottom"/>
          </w:tcPr>
          <w:p w14:paraId="26145FAF" w14:textId="77777777" w:rsidR="003D3187" w:rsidRDefault="00000000">
            <w:pPr>
              <w:spacing w:after="0" w:line="259" w:lineRule="auto"/>
              <w:ind w:left="0" w:firstLine="0"/>
            </w:pPr>
            <w:r>
              <w:rPr>
                <w:b/>
                <w:sz w:val="22"/>
              </w:rPr>
              <w:t xml:space="preserve">11,573,560 </w:t>
            </w:r>
          </w:p>
        </w:tc>
      </w:tr>
    </w:tbl>
    <w:p w14:paraId="1467E785" w14:textId="77777777" w:rsidR="003D3187" w:rsidRDefault="00000000">
      <w:pPr>
        <w:spacing w:after="0" w:line="259" w:lineRule="auto"/>
        <w:ind w:left="207" w:firstLine="0"/>
      </w:pPr>
      <w:r>
        <w:t xml:space="preserve"> </w:t>
      </w:r>
    </w:p>
    <w:p w14:paraId="7129A837" w14:textId="77777777" w:rsidR="003D3187" w:rsidRDefault="00000000">
      <w:pPr>
        <w:ind w:right="450"/>
      </w:pPr>
      <w:r>
        <w:t xml:space="preserve">2.5 Considering the saving risk analysis above, and to provide additional head room against unforeseen events, it was decided to retain the £15m contingency for 2026/27 that was previously expected to be reduced. A £5.574m contingency for the Integrated Care Board (ICB) has also been incorporated within the 2026/27 budget, as a matter of prudence.  This represents approximately a 50% share of the level of risk that the </w:t>
      </w:r>
    </w:p>
    <w:p w14:paraId="66272A15" w14:textId="77777777" w:rsidR="003D3187" w:rsidRDefault="00000000">
      <w:pPr>
        <w:ind w:left="570" w:right="450" w:firstLine="0"/>
      </w:pPr>
      <w:r>
        <w:t xml:space="preserve">implications from potential cost shifting. </w:t>
      </w:r>
    </w:p>
    <w:p w14:paraId="07865B3F" w14:textId="77777777" w:rsidR="003D3187" w:rsidRDefault="00000000">
      <w:pPr>
        <w:pStyle w:val="Heading2"/>
        <w:spacing w:after="135"/>
        <w:ind w:left="10" w:right="533"/>
      </w:pPr>
      <w:r>
        <w:t xml:space="preserve">3. Pay Award Assumptions </w:t>
      </w:r>
    </w:p>
    <w:p w14:paraId="48673DC7" w14:textId="77777777" w:rsidR="003D3187" w:rsidRDefault="00000000">
      <w:pPr>
        <w:ind w:right="926"/>
      </w:pPr>
      <w:r>
        <w:t xml:space="preserve">3.1 The 2025/26 budget allocated circa 4% of total General Fund salary budget within corporate budgets to be allocated out in year.  The actual pay award for local government employees was 3.2%.  All 2025/26 virements to provide services with their allocation based on 3.2% award have yet to be completed but, once done, it is anticipated that there will be some flex in the corporate pay budget.  This is due to expectations of the award being higher (4%) than what has been agreed (3.2%).  All virements should be completed in the coming period and updates will be provided.  </w:t>
      </w:r>
    </w:p>
    <w:p w14:paraId="3BB9D67B" w14:textId="77777777" w:rsidR="003D3187" w:rsidRDefault="00000000">
      <w:pPr>
        <w:ind w:right="926"/>
      </w:pPr>
      <w:r>
        <w:t>3.2</w:t>
      </w:r>
      <w:r>
        <w:rPr>
          <w:rFonts w:ascii="Calibri" w:eastAsia="Calibri" w:hAnsi="Calibri" w:cs="Calibri"/>
          <w:sz w:val="22"/>
        </w:rPr>
        <w:t xml:space="preserve"> </w:t>
      </w:r>
      <w:r>
        <w:t>The assumption for 2026/27 pay award within the budget is again circa 4%.  It is a reasonable assumption based on the pay awards of the past few years and general inflation within the UK.</w:t>
      </w:r>
      <w:r>
        <w:rPr>
          <w:rFonts w:ascii="Calibri" w:eastAsia="Calibri" w:hAnsi="Calibri" w:cs="Calibri"/>
          <w:sz w:val="22"/>
        </w:rPr>
        <w:t xml:space="preserve"> </w:t>
      </w:r>
    </w:p>
    <w:p w14:paraId="636608B2" w14:textId="77777777" w:rsidR="003D3187" w:rsidRDefault="00000000">
      <w:pPr>
        <w:pStyle w:val="Heading2"/>
        <w:spacing w:after="135"/>
        <w:ind w:left="10" w:right="533"/>
      </w:pPr>
      <w:r>
        <w:t xml:space="preserve">4. Other Assumptions </w:t>
      </w:r>
    </w:p>
    <w:p w14:paraId="5C68709A" w14:textId="77777777" w:rsidR="003D3187" w:rsidRDefault="00000000">
      <w:pPr>
        <w:ind w:right="927"/>
      </w:pPr>
      <w:r>
        <w:t>4.1</w:t>
      </w:r>
      <w:r>
        <w:rPr>
          <w:rFonts w:ascii="Calibri" w:eastAsia="Calibri" w:hAnsi="Calibri" w:cs="Calibri"/>
          <w:sz w:val="22"/>
        </w:rPr>
        <w:t xml:space="preserve"> </w:t>
      </w:r>
      <w:r>
        <w:t>It is standard practice for services to manage general inflationary pressures within their overarching budget envelope.  Specific contractual commitments and expected growth in social care are modelled annually and corporate budgets set aside against the expected expenditure pressures.</w:t>
      </w:r>
      <w:r>
        <w:rPr>
          <w:rFonts w:ascii="Calibri" w:eastAsia="Calibri" w:hAnsi="Calibri" w:cs="Calibri"/>
          <w:sz w:val="22"/>
        </w:rPr>
        <w:t xml:space="preserve"> </w:t>
      </w:r>
    </w:p>
    <w:p w14:paraId="2DB498EA" w14:textId="77777777" w:rsidR="003D3187" w:rsidRDefault="00000000">
      <w:pPr>
        <w:pStyle w:val="Heading2"/>
        <w:spacing w:after="135"/>
        <w:ind w:left="10" w:right="533"/>
      </w:pPr>
      <w:r>
        <w:t xml:space="preserve">5. Reserves </w:t>
      </w:r>
    </w:p>
    <w:p w14:paraId="045B221A" w14:textId="77777777" w:rsidR="003D3187" w:rsidRDefault="00000000">
      <w:pPr>
        <w:ind w:right="940"/>
      </w:pPr>
      <w:r>
        <w:t xml:space="preserve">5.1 To reflect the challenging operating environment and related financial risks, the Section 151 Officer recommends that the Council maintains a minimum General Fund balance at a level of at least 7.5% of net expenditure.  </w:t>
      </w:r>
    </w:p>
    <w:p w14:paraId="3737F1CC" w14:textId="77777777" w:rsidR="003D3187" w:rsidRDefault="00000000">
      <w:pPr>
        <w:spacing w:after="10"/>
        <w:ind w:right="450"/>
      </w:pPr>
      <w:r>
        <w:t xml:space="preserve">5.2 Total General Fund Reserve Balance from draft 2024/25 accounts show General Fund Reserve of £63.540m at 31st March 2025.   </w:t>
      </w:r>
    </w:p>
    <w:tbl>
      <w:tblPr>
        <w:tblStyle w:val="TableGrid"/>
        <w:tblW w:w="8923" w:type="dxa"/>
        <w:tblInd w:w="213" w:type="dxa"/>
        <w:tblCellMar>
          <w:top w:w="32" w:type="dxa"/>
          <w:left w:w="56" w:type="dxa"/>
          <w:bottom w:w="0" w:type="dxa"/>
          <w:right w:w="0" w:type="dxa"/>
        </w:tblCellMar>
        <w:tblLook w:val="04A0" w:firstRow="1" w:lastRow="0" w:firstColumn="1" w:lastColumn="0" w:noHBand="0" w:noVBand="1"/>
      </w:tblPr>
      <w:tblGrid>
        <w:gridCol w:w="3820"/>
        <w:gridCol w:w="1701"/>
        <w:gridCol w:w="1701"/>
        <w:gridCol w:w="1701"/>
      </w:tblGrid>
      <w:tr w:rsidR="003D3187" w14:paraId="398411AD" w14:textId="77777777">
        <w:trPr>
          <w:trHeight w:val="655"/>
        </w:trPr>
        <w:tc>
          <w:tcPr>
            <w:tcW w:w="3821"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7843FB58" w14:textId="77777777" w:rsidR="003D3187" w:rsidRDefault="00000000">
            <w:pPr>
              <w:spacing w:after="0" w:line="259" w:lineRule="auto"/>
              <w:ind w:left="0" w:firstLine="0"/>
            </w:pPr>
            <w:r>
              <w:rPr>
                <w:b/>
                <w:sz w:val="22"/>
              </w:rPr>
              <w:t xml:space="preserve">Reserve Category </w:t>
            </w:r>
          </w:p>
        </w:tc>
        <w:tc>
          <w:tcPr>
            <w:tcW w:w="1701" w:type="dxa"/>
            <w:tcBorders>
              <w:top w:val="single" w:sz="4" w:space="0" w:color="000000"/>
              <w:left w:val="single" w:sz="4" w:space="0" w:color="000000"/>
              <w:bottom w:val="single" w:sz="4" w:space="0" w:color="000000"/>
              <w:right w:val="single" w:sz="4" w:space="0" w:color="000000"/>
            </w:tcBorders>
            <w:shd w:val="clear" w:color="auto" w:fill="B5E6A2"/>
          </w:tcPr>
          <w:p w14:paraId="630E4FCF" w14:textId="77777777" w:rsidR="003D3187" w:rsidRDefault="00000000">
            <w:pPr>
              <w:spacing w:after="0" w:line="259" w:lineRule="auto"/>
              <w:ind w:left="0" w:firstLine="0"/>
              <w:jc w:val="center"/>
            </w:pPr>
            <w:r>
              <w:rPr>
                <w:b/>
                <w:sz w:val="22"/>
              </w:rPr>
              <w:t xml:space="preserve">31 March 2024 £m </w:t>
            </w:r>
          </w:p>
        </w:tc>
        <w:tc>
          <w:tcPr>
            <w:tcW w:w="1701"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3718A752" w14:textId="77777777" w:rsidR="003D3187" w:rsidRDefault="00000000">
            <w:pPr>
              <w:spacing w:after="0" w:line="259" w:lineRule="auto"/>
              <w:ind w:left="0" w:right="53" w:firstLine="0"/>
              <w:jc w:val="center"/>
            </w:pPr>
            <w:r>
              <w:rPr>
                <w:b/>
                <w:sz w:val="22"/>
              </w:rPr>
              <w:t xml:space="preserve">Movement </w:t>
            </w:r>
          </w:p>
        </w:tc>
        <w:tc>
          <w:tcPr>
            <w:tcW w:w="1701" w:type="dxa"/>
            <w:tcBorders>
              <w:top w:val="single" w:sz="4" w:space="0" w:color="000000"/>
              <w:left w:val="single" w:sz="4" w:space="0" w:color="000000"/>
              <w:bottom w:val="single" w:sz="4" w:space="0" w:color="000000"/>
              <w:right w:val="single" w:sz="4" w:space="0" w:color="000000"/>
            </w:tcBorders>
            <w:shd w:val="clear" w:color="auto" w:fill="B5E6A2"/>
          </w:tcPr>
          <w:p w14:paraId="47D7B693" w14:textId="77777777" w:rsidR="003D3187" w:rsidRDefault="00000000">
            <w:pPr>
              <w:spacing w:after="0" w:line="259" w:lineRule="auto"/>
              <w:ind w:left="0" w:firstLine="0"/>
              <w:jc w:val="center"/>
            </w:pPr>
            <w:r>
              <w:rPr>
                <w:b/>
                <w:sz w:val="22"/>
              </w:rPr>
              <w:t xml:space="preserve">31 March 2025 £m </w:t>
            </w:r>
          </w:p>
        </w:tc>
      </w:tr>
      <w:tr w:rsidR="003D3187" w14:paraId="58691463" w14:textId="77777777">
        <w:trPr>
          <w:trHeight w:val="294"/>
        </w:trPr>
        <w:tc>
          <w:tcPr>
            <w:tcW w:w="3821" w:type="dxa"/>
            <w:tcBorders>
              <w:top w:val="single" w:sz="4" w:space="0" w:color="000000"/>
              <w:left w:val="single" w:sz="4" w:space="0" w:color="000000"/>
              <w:bottom w:val="nil"/>
              <w:right w:val="single" w:sz="4" w:space="0" w:color="000000"/>
            </w:tcBorders>
            <w:shd w:val="clear" w:color="auto" w:fill="FFFFFF"/>
          </w:tcPr>
          <w:p w14:paraId="1AA6DF62" w14:textId="77777777" w:rsidR="003D3187" w:rsidRDefault="00000000">
            <w:pPr>
              <w:spacing w:after="0" w:line="259" w:lineRule="auto"/>
              <w:ind w:left="0" w:firstLine="0"/>
            </w:pPr>
            <w:r>
              <w:rPr>
                <w:sz w:val="22"/>
              </w:rPr>
              <w:t xml:space="preserve">General Fund </w:t>
            </w:r>
          </w:p>
        </w:tc>
        <w:tc>
          <w:tcPr>
            <w:tcW w:w="1701" w:type="dxa"/>
            <w:tcBorders>
              <w:top w:val="single" w:sz="4" w:space="0" w:color="000000"/>
              <w:left w:val="single" w:sz="4" w:space="0" w:color="000000"/>
              <w:bottom w:val="nil"/>
              <w:right w:val="single" w:sz="4" w:space="0" w:color="000000"/>
            </w:tcBorders>
            <w:shd w:val="clear" w:color="auto" w:fill="FFFFFF"/>
          </w:tcPr>
          <w:p w14:paraId="0ED47BA9" w14:textId="77777777" w:rsidR="003D3187" w:rsidRDefault="00000000">
            <w:pPr>
              <w:spacing w:after="0" w:line="259" w:lineRule="auto"/>
              <w:ind w:left="0" w:right="56" w:firstLine="0"/>
              <w:jc w:val="right"/>
            </w:pPr>
            <w:r>
              <w:rPr>
                <w:sz w:val="22"/>
              </w:rPr>
              <w:t xml:space="preserve">(22.719) </w:t>
            </w:r>
          </w:p>
        </w:tc>
        <w:tc>
          <w:tcPr>
            <w:tcW w:w="1701" w:type="dxa"/>
            <w:tcBorders>
              <w:top w:val="single" w:sz="4" w:space="0" w:color="000000"/>
              <w:left w:val="single" w:sz="4" w:space="0" w:color="000000"/>
              <w:bottom w:val="nil"/>
              <w:right w:val="single" w:sz="4" w:space="0" w:color="000000"/>
            </w:tcBorders>
            <w:shd w:val="clear" w:color="auto" w:fill="FFFFFF"/>
          </w:tcPr>
          <w:p w14:paraId="0898B9B2" w14:textId="77777777" w:rsidR="003D3187" w:rsidRDefault="00000000">
            <w:pPr>
              <w:spacing w:after="0" w:line="259" w:lineRule="auto"/>
              <w:ind w:left="0" w:right="56" w:firstLine="0"/>
              <w:jc w:val="right"/>
            </w:pPr>
            <w:r>
              <w:rPr>
                <w:sz w:val="22"/>
              </w:rPr>
              <w:t xml:space="preserve">(40.821) </w:t>
            </w:r>
          </w:p>
        </w:tc>
        <w:tc>
          <w:tcPr>
            <w:tcW w:w="1701" w:type="dxa"/>
            <w:tcBorders>
              <w:top w:val="single" w:sz="4" w:space="0" w:color="000000"/>
              <w:left w:val="single" w:sz="4" w:space="0" w:color="000000"/>
              <w:bottom w:val="nil"/>
              <w:right w:val="single" w:sz="4" w:space="0" w:color="000000"/>
            </w:tcBorders>
            <w:shd w:val="clear" w:color="auto" w:fill="FFFFFF"/>
          </w:tcPr>
          <w:p w14:paraId="66189716" w14:textId="77777777" w:rsidR="003D3187" w:rsidRDefault="00000000">
            <w:pPr>
              <w:spacing w:after="0" w:line="259" w:lineRule="auto"/>
              <w:ind w:left="0" w:right="56" w:firstLine="0"/>
              <w:jc w:val="right"/>
            </w:pPr>
            <w:r>
              <w:rPr>
                <w:b/>
                <w:sz w:val="22"/>
              </w:rPr>
              <w:t xml:space="preserve">(63.540) </w:t>
            </w:r>
          </w:p>
        </w:tc>
      </w:tr>
      <w:tr w:rsidR="003D3187" w14:paraId="49393CA6" w14:textId="77777777">
        <w:trPr>
          <w:trHeight w:val="330"/>
        </w:trPr>
        <w:tc>
          <w:tcPr>
            <w:tcW w:w="3821" w:type="dxa"/>
            <w:tcBorders>
              <w:top w:val="nil"/>
              <w:left w:val="single" w:sz="4" w:space="0" w:color="000000"/>
              <w:bottom w:val="nil"/>
              <w:right w:val="single" w:sz="4" w:space="0" w:color="000000"/>
            </w:tcBorders>
          </w:tcPr>
          <w:p w14:paraId="523FFB4C" w14:textId="77777777" w:rsidR="003D3187" w:rsidRDefault="00000000">
            <w:pPr>
              <w:spacing w:after="0" w:line="259" w:lineRule="auto"/>
              <w:ind w:left="0" w:firstLine="0"/>
            </w:pPr>
            <w:r>
              <w:rPr>
                <w:sz w:val="22"/>
              </w:rPr>
              <w:t xml:space="preserve">Earmarked General Fund Reserves </w:t>
            </w:r>
          </w:p>
        </w:tc>
        <w:tc>
          <w:tcPr>
            <w:tcW w:w="1701" w:type="dxa"/>
            <w:tcBorders>
              <w:top w:val="nil"/>
              <w:left w:val="single" w:sz="4" w:space="0" w:color="000000"/>
              <w:bottom w:val="nil"/>
              <w:right w:val="single" w:sz="4" w:space="0" w:color="000000"/>
            </w:tcBorders>
          </w:tcPr>
          <w:p w14:paraId="7B986A92" w14:textId="77777777" w:rsidR="003D3187" w:rsidRDefault="00000000">
            <w:pPr>
              <w:spacing w:after="0" w:line="259" w:lineRule="auto"/>
              <w:ind w:left="0" w:right="56" w:firstLine="0"/>
              <w:jc w:val="right"/>
            </w:pPr>
            <w:r>
              <w:rPr>
                <w:sz w:val="22"/>
              </w:rPr>
              <w:t xml:space="preserve">(197.285) </w:t>
            </w:r>
          </w:p>
        </w:tc>
        <w:tc>
          <w:tcPr>
            <w:tcW w:w="1701" w:type="dxa"/>
            <w:tcBorders>
              <w:top w:val="nil"/>
              <w:left w:val="single" w:sz="4" w:space="0" w:color="000000"/>
              <w:bottom w:val="nil"/>
              <w:right w:val="single" w:sz="4" w:space="0" w:color="000000"/>
            </w:tcBorders>
          </w:tcPr>
          <w:p w14:paraId="213D6CAF" w14:textId="77777777" w:rsidR="003D3187" w:rsidRDefault="00000000">
            <w:pPr>
              <w:spacing w:after="0" w:line="259" w:lineRule="auto"/>
              <w:ind w:left="0" w:right="56" w:firstLine="0"/>
              <w:jc w:val="right"/>
            </w:pPr>
            <w:r>
              <w:rPr>
                <w:sz w:val="22"/>
              </w:rPr>
              <w:t xml:space="preserve">4.771 </w:t>
            </w:r>
          </w:p>
        </w:tc>
        <w:tc>
          <w:tcPr>
            <w:tcW w:w="1701" w:type="dxa"/>
            <w:tcBorders>
              <w:top w:val="nil"/>
              <w:left w:val="single" w:sz="4" w:space="0" w:color="000000"/>
              <w:bottom w:val="nil"/>
              <w:right w:val="single" w:sz="4" w:space="0" w:color="000000"/>
            </w:tcBorders>
          </w:tcPr>
          <w:p w14:paraId="4C7F42FA" w14:textId="77777777" w:rsidR="003D3187" w:rsidRDefault="00000000">
            <w:pPr>
              <w:spacing w:after="0" w:line="259" w:lineRule="auto"/>
              <w:ind w:left="0" w:right="56" w:firstLine="0"/>
              <w:jc w:val="right"/>
            </w:pPr>
            <w:r>
              <w:rPr>
                <w:b/>
                <w:sz w:val="22"/>
              </w:rPr>
              <w:t xml:space="preserve">(192.514) </w:t>
            </w:r>
          </w:p>
        </w:tc>
      </w:tr>
      <w:tr w:rsidR="003D3187" w14:paraId="7F654FF4" w14:textId="77777777">
        <w:trPr>
          <w:trHeight w:val="288"/>
        </w:trPr>
        <w:tc>
          <w:tcPr>
            <w:tcW w:w="3821" w:type="dxa"/>
            <w:tcBorders>
              <w:top w:val="nil"/>
              <w:left w:val="single" w:sz="4" w:space="0" w:color="000000"/>
              <w:bottom w:val="nil"/>
              <w:right w:val="single" w:sz="4" w:space="0" w:color="000000"/>
            </w:tcBorders>
          </w:tcPr>
          <w:p w14:paraId="33D87F40" w14:textId="77777777" w:rsidR="003D3187" w:rsidRDefault="00000000">
            <w:pPr>
              <w:spacing w:after="0" w:line="259" w:lineRule="auto"/>
              <w:ind w:left="0" w:firstLine="0"/>
            </w:pPr>
            <w:r>
              <w:rPr>
                <w:sz w:val="22"/>
              </w:rPr>
              <w:t xml:space="preserve">HRA </w:t>
            </w:r>
          </w:p>
        </w:tc>
        <w:tc>
          <w:tcPr>
            <w:tcW w:w="1701" w:type="dxa"/>
            <w:tcBorders>
              <w:top w:val="nil"/>
              <w:left w:val="single" w:sz="4" w:space="0" w:color="000000"/>
              <w:bottom w:val="nil"/>
              <w:right w:val="single" w:sz="4" w:space="0" w:color="000000"/>
            </w:tcBorders>
          </w:tcPr>
          <w:p w14:paraId="13969704" w14:textId="77777777" w:rsidR="003D3187" w:rsidRDefault="00000000">
            <w:pPr>
              <w:spacing w:after="0" w:line="259" w:lineRule="auto"/>
              <w:ind w:left="0" w:right="56" w:firstLine="0"/>
              <w:jc w:val="right"/>
            </w:pPr>
            <w:r>
              <w:rPr>
                <w:sz w:val="22"/>
              </w:rPr>
              <w:t xml:space="preserve">(60.124) </w:t>
            </w:r>
          </w:p>
        </w:tc>
        <w:tc>
          <w:tcPr>
            <w:tcW w:w="1701" w:type="dxa"/>
            <w:tcBorders>
              <w:top w:val="nil"/>
              <w:left w:val="single" w:sz="4" w:space="0" w:color="000000"/>
              <w:bottom w:val="nil"/>
              <w:right w:val="single" w:sz="4" w:space="0" w:color="000000"/>
            </w:tcBorders>
          </w:tcPr>
          <w:p w14:paraId="132C22FD" w14:textId="77777777" w:rsidR="003D3187" w:rsidRDefault="00000000">
            <w:pPr>
              <w:spacing w:after="0" w:line="259" w:lineRule="auto"/>
              <w:ind w:left="0" w:right="56" w:firstLine="0"/>
              <w:jc w:val="right"/>
            </w:pPr>
            <w:r>
              <w:rPr>
                <w:sz w:val="22"/>
              </w:rPr>
              <w:t xml:space="preserve">(16.537) </w:t>
            </w:r>
          </w:p>
        </w:tc>
        <w:tc>
          <w:tcPr>
            <w:tcW w:w="1701" w:type="dxa"/>
            <w:tcBorders>
              <w:top w:val="nil"/>
              <w:left w:val="single" w:sz="4" w:space="0" w:color="000000"/>
              <w:bottom w:val="nil"/>
              <w:right w:val="single" w:sz="4" w:space="0" w:color="000000"/>
            </w:tcBorders>
          </w:tcPr>
          <w:p w14:paraId="1F46EFAC" w14:textId="77777777" w:rsidR="003D3187" w:rsidRDefault="00000000">
            <w:pPr>
              <w:spacing w:after="0" w:line="259" w:lineRule="auto"/>
              <w:ind w:left="0" w:right="56" w:firstLine="0"/>
              <w:jc w:val="right"/>
            </w:pPr>
            <w:r>
              <w:rPr>
                <w:b/>
                <w:sz w:val="22"/>
              </w:rPr>
              <w:t xml:space="preserve">(76.661) </w:t>
            </w:r>
          </w:p>
        </w:tc>
      </w:tr>
      <w:tr w:rsidR="003D3187" w14:paraId="3CB65B73" w14:textId="77777777">
        <w:trPr>
          <w:trHeight w:val="288"/>
        </w:trPr>
        <w:tc>
          <w:tcPr>
            <w:tcW w:w="3821" w:type="dxa"/>
            <w:tcBorders>
              <w:top w:val="nil"/>
              <w:left w:val="single" w:sz="4" w:space="0" w:color="000000"/>
              <w:bottom w:val="nil"/>
              <w:right w:val="single" w:sz="4" w:space="0" w:color="000000"/>
            </w:tcBorders>
          </w:tcPr>
          <w:p w14:paraId="6CB945DD" w14:textId="77777777" w:rsidR="003D3187" w:rsidRDefault="00000000">
            <w:pPr>
              <w:spacing w:after="0" w:line="259" w:lineRule="auto"/>
              <w:ind w:left="0" w:firstLine="0"/>
            </w:pPr>
            <w:r>
              <w:rPr>
                <w:sz w:val="22"/>
              </w:rPr>
              <w:t xml:space="preserve">HRA Earmarked Reserves </w:t>
            </w:r>
          </w:p>
        </w:tc>
        <w:tc>
          <w:tcPr>
            <w:tcW w:w="1701" w:type="dxa"/>
            <w:tcBorders>
              <w:top w:val="nil"/>
              <w:left w:val="single" w:sz="4" w:space="0" w:color="000000"/>
              <w:bottom w:val="nil"/>
              <w:right w:val="single" w:sz="4" w:space="0" w:color="000000"/>
            </w:tcBorders>
          </w:tcPr>
          <w:p w14:paraId="1ABA23CD" w14:textId="77777777" w:rsidR="003D3187" w:rsidRDefault="00000000">
            <w:pPr>
              <w:spacing w:after="0" w:line="259" w:lineRule="auto"/>
              <w:ind w:left="0" w:right="56" w:firstLine="0"/>
              <w:jc w:val="right"/>
            </w:pPr>
            <w:r>
              <w:rPr>
                <w:sz w:val="22"/>
              </w:rPr>
              <w:t xml:space="preserve">(0.626) </w:t>
            </w:r>
          </w:p>
        </w:tc>
        <w:tc>
          <w:tcPr>
            <w:tcW w:w="1701" w:type="dxa"/>
            <w:tcBorders>
              <w:top w:val="nil"/>
              <w:left w:val="single" w:sz="4" w:space="0" w:color="000000"/>
              <w:bottom w:val="nil"/>
              <w:right w:val="single" w:sz="4" w:space="0" w:color="000000"/>
            </w:tcBorders>
          </w:tcPr>
          <w:p w14:paraId="71FC3454" w14:textId="77777777" w:rsidR="003D3187" w:rsidRDefault="00000000">
            <w:pPr>
              <w:spacing w:after="0" w:line="259" w:lineRule="auto"/>
              <w:ind w:left="0" w:right="56" w:firstLine="0"/>
              <w:jc w:val="right"/>
            </w:pPr>
            <w:r>
              <w:rPr>
                <w:sz w:val="22"/>
              </w:rPr>
              <w:t xml:space="preserve">(0.047) </w:t>
            </w:r>
          </w:p>
        </w:tc>
        <w:tc>
          <w:tcPr>
            <w:tcW w:w="1701" w:type="dxa"/>
            <w:tcBorders>
              <w:top w:val="nil"/>
              <w:left w:val="single" w:sz="4" w:space="0" w:color="000000"/>
              <w:bottom w:val="nil"/>
              <w:right w:val="single" w:sz="4" w:space="0" w:color="000000"/>
            </w:tcBorders>
          </w:tcPr>
          <w:p w14:paraId="737077F1" w14:textId="77777777" w:rsidR="003D3187" w:rsidRDefault="00000000">
            <w:pPr>
              <w:spacing w:after="0" w:line="259" w:lineRule="auto"/>
              <w:ind w:left="0" w:right="56" w:firstLine="0"/>
              <w:jc w:val="right"/>
            </w:pPr>
            <w:r>
              <w:rPr>
                <w:b/>
                <w:sz w:val="22"/>
              </w:rPr>
              <w:t xml:space="preserve">(0.673) </w:t>
            </w:r>
          </w:p>
        </w:tc>
      </w:tr>
      <w:tr w:rsidR="003D3187" w14:paraId="048A1BAF" w14:textId="77777777">
        <w:trPr>
          <w:trHeight w:val="288"/>
        </w:trPr>
        <w:tc>
          <w:tcPr>
            <w:tcW w:w="3821" w:type="dxa"/>
            <w:tcBorders>
              <w:top w:val="nil"/>
              <w:left w:val="single" w:sz="4" w:space="0" w:color="000000"/>
              <w:bottom w:val="nil"/>
              <w:right w:val="single" w:sz="4" w:space="0" w:color="000000"/>
            </w:tcBorders>
          </w:tcPr>
          <w:p w14:paraId="3ADF3134" w14:textId="77777777" w:rsidR="003D3187" w:rsidRDefault="00000000">
            <w:pPr>
              <w:spacing w:after="0" w:line="259" w:lineRule="auto"/>
              <w:ind w:left="0" w:firstLine="0"/>
            </w:pPr>
            <w:r>
              <w:rPr>
                <w:sz w:val="22"/>
              </w:rPr>
              <w:t xml:space="preserve">Capital Grants </w:t>
            </w:r>
          </w:p>
        </w:tc>
        <w:tc>
          <w:tcPr>
            <w:tcW w:w="1701" w:type="dxa"/>
            <w:tcBorders>
              <w:top w:val="nil"/>
              <w:left w:val="single" w:sz="4" w:space="0" w:color="000000"/>
              <w:bottom w:val="nil"/>
              <w:right w:val="single" w:sz="4" w:space="0" w:color="000000"/>
            </w:tcBorders>
          </w:tcPr>
          <w:p w14:paraId="1F6F7D59" w14:textId="77777777" w:rsidR="003D3187" w:rsidRDefault="00000000">
            <w:pPr>
              <w:spacing w:after="0" w:line="259" w:lineRule="auto"/>
              <w:ind w:left="0" w:right="56" w:firstLine="0"/>
              <w:jc w:val="right"/>
            </w:pPr>
            <w:r>
              <w:rPr>
                <w:sz w:val="22"/>
              </w:rPr>
              <w:t xml:space="preserve">(36.061) </w:t>
            </w:r>
          </w:p>
        </w:tc>
        <w:tc>
          <w:tcPr>
            <w:tcW w:w="1701" w:type="dxa"/>
            <w:tcBorders>
              <w:top w:val="nil"/>
              <w:left w:val="single" w:sz="4" w:space="0" w:color="000000"/>
              <w:bottom w:val="nil"/>
              <w:right w:val="single" w:sz="4" w:space="0" w:color="000000"/>
            </w:tcBorders>
          </w:tcPr>
          <w:p w14:paraId="13287090" w14:textId="77777777" w:rsidR="003D3187" w:rsidRDefault="00000000">
            <w:pPr>
              <w:spacing w:after="0" w:line="259" w:lineRule="auto"/>
              <w:ind w:left="0" w:right="56" w:firstLine="0"/>
              <w:jc w:val="right"/>
            </w:pPr>
            <w:r>
              <w:rPr>
                <w:sz w:val="22"/>
              </w:rPr>
              <w:t xml:space="preserve">(38.130) </w:t>
            </w:r>
          </w:p>
        </w:tc>
        <w:tc>
          <w:tcPr>
            <w:tcW w:w="1701" w:type="dxa"/>
            <w:tcBorders>
              <w:top w:val="nil"/>
              <w:left w:val="single" w:sz="4" w:space="0" w:color="000000"/>
              <w:bottom w:val="nil"/>
              <w:right w:val="single" w:sz="4" w:space="0" w:color="000000"/>
            </w:tcBorders>
          </w:tcPr>
          <w:p w14:paraId="117304C1" w14:textId="77777777" w:rsidR="003D3187" w:rsidRDefault="00000000">
            <w:pPr>
              <w:spacing w:after="0" w:line="259" w:lineRule="auto"/>
              <w:ind w:left="0" w:right="56" w:firstLine="0"/>
              <w:jc w:val="right"/>
            </w:pPr>
            <w:r>
              <w:rPr>
                <w:b/>
                <w:sz w:val="22"/>
              </w:rPr>
              <w:t xml:space="preserve">(74.191) </w:t>
            </w:r>
          </w:p>
        </w:tc>
      </w:tr>
      <w:tr w:rsidR="003D3187" w14:paraId="2A5935B2" w14:textId="77777777">
        <w:trPr>
          <w:trHeight w:val="288"/>
        </w:trPr>
        <w:tc>
          <w:tcPr>
            <w:tcW w:w="3821" w:type="dxa"/>
            <w:tcBorders>
              <w:top w:val="nil"/>
              <w:left w:val="single" w:sz="4" w:space="0" w:color="000000"/>
              <w:bottom w:val="nil"/>
              <w:right w:val="single" w:sz="4" w:space="0" w:color="000000"/>
            </w:tcBorders>
          </w:tcPr>
          <w:p w14:paraId="4154CB8F" w14:textId="77777777" w:rsidR="003D3187" w:rsidRDefault="00000000">
            <w:pPr>
              <w:spacing w:after="0" w:line="259" w:lineRule="auto"/>
              <w:ind w:left="0" w:firstLine="0"/>
            </w:pPr>
            <w:r>
              <w:rPr>
                <w:sz w:val="22"/>
              </w:rPr>
              <w:t xml:space="preserve">Major Repairs Reserve </w:t>
            </w:r>
          </w:p>
        </w:tc>
        <w:tc>
          <w:tcPr>
            <w:tcW w:w="1701" w:type="dxa"/>
            <w:tcBorders>
              <w:top w:val="nil"/>
              <w:left w:val="single" w:sz="4" w:space="0" w:color="000000"/>
              <w:bottom w:val="nil"/>
              <w:right w:val="single" w:sz="4" w:space="0" w:color="000000"/>
            </w:tcBorders>
          </w:tcPr>
          <w:p w14:paraId="6D12159F" w14:textId="77777777" w:rsidR="003D3187" w:rsidRDefault="00000000">
            <w:pPr>
              <w:spacing w:after="0" w:line="259" w:lineRule="auto"/>
              <w:ind w:left="0" w:right="56" w:firstLine="0"/>
              <w:jc w:val="right"/>
            </w:pPr>
            <w:r>
              <w:rPr>
                <w:sz w:val="22"/>
              </w:rPr>
              <w:t xml:space="preserve">(49.907) </w:t>
            </w:r>
          </w:p>
        </w:tc>
        <w:tc>
          <w:tcPr>
            <w:tcW w:w="1701" w:type="dxa"/>
            <w:tcBorders>
              <w:top w:val="nil"/>
              <w:left w:val="single" w:sz="4" w:space="0" w:color="000000"/>
              <w:bottom w:val="nil"/>
              <w:right w:val="single" w:sz="4" w:space="0" w:color="000000"/>
            </w:tcBorders>
          </w:tcPr>
          <w:p w14:paraId="69D46B72" w14:textId="77777777" w:rsidR="003D3187" w:rsidRDefault="00000000">
            <w:pPr>
              <w:spacing w:after="0" w:line="259" w:lineRule="auto"/>
              <w:ind w:left="0" w:right="56" w:firstLine="0"/>
              <w:jc w:val="right"/>
            </w:pPr>
            <w:r>
              <w:rPr>
                <w:sz w:val="22"/>
              </w:rPr>
              <w:t xml:space="preserve">1.237 </w:t>
            </w:r>
          </w:p>
        </w:tc>
        <w:tc>
          <w:tcPr>
            <w:tcW w:w="1701" w:type="dxa"/>
            <w:tcBorders>
              <w:top w:val="nil"/>
              <w:left w:val="single" w:sz="4" w:space="0" w:color="000000"/>
              <w:bottom w:val="nil"/>
              <w:right w:val="single" w:sz="4" w:space="0" w:color="000000"/>
            </w:tcBorders>
          </w:tcPr>
          <w:p w14:paraId="152AE9D4" w14:textId="77777777" w:rsidR="003D3187" w:rsidRDefault="00000000">
            <w:pPr>
              <w:spacing w:after="0" w:line="259" w:lineRule="auto"/>
              <w:ind w:left="0" w:right="56" w:firstLine="0"/>
              <w:jc w:val="right"/>
            </w:pPr>
            <w:r>
              <w:rPr>
                <w:b/>
                <w:sz w:val="22"/>
              </w:rPr>
              <w:t xml:space="preserve">(48.670) </w:t>
            </w:r>
          </w:p>
        </w:tc>
      </w:tr>
      <w:tr w:rsidR="003D3187" w14:paraId="6632154D" w14:textId="77777777">
        <w:trPr>
          <w:trHeight w:val="261"/>
        </w:trPr>
        <w:tc>
          <w:tcPr>
            <w:tcW w:w="3821" w:type="dxa"/>
            <w:tcBorders>
              <w:top w:val="nil"/>
              <w:left w:val="single" w:sz="4" w:space="0" w:color="000000"/>
              <w:bottom w:val="single" w:sz="4" w:space="0" w:color="000000"/>
              <w:right w:val="single" w:sz="4" w:space="0" w:color="000000"/>
            </w:tcBorders>
          </w:tcPr>
          <w:p w14:paraId="3B6DB2AC" w14:textId="77777777" w:rsidR="003D3187" w:rsidRDefault="00000000">
            <w:pPr>
              <w:spacing w:after="0" w:line="259" w:lineRule="auto"/>
              <w:ind w:left="0" w:firstLine="0"/>
            </w:pPr>
            <w:r>
              <w:rPr>
                <w:sz w:val="22"/>
              </w:rPr>
              <w:t xml:space="preserve">Capital Receipts </w:t>
            </w:r>
          </w:p>
        </w:tc>
        <w:tc>
          <w:tcPr>
            <w:tcW w:w="1701" w:type="dxa"/>
            <w:tcBorders>
              <w:top w:val="nil"/>
              <w:left w:val="single" w:sz="4" w:space="0" w:color="000000"/>
              <w:bottom w:val="single" w:sz="4" w:space="0" w:color="000000"/>
              <w:right w:val="single" w:sz="4" w:space="0" w:color="000000"/>
            </w:tcBorders>
          </w:tcPr>
          <w:p w14:paraId="7A6C557C" w14:textId="77777777" w:rsidR="003D3187" w:rsidRDefault="00000000">
            <w:pPr>
              <w:spacing w:after="0" w:line="259" w:lineRule="auto"/>
              <w:ind w:left="0" w:right="56" w:firstLine="0"/>
              <w:jc w:val="right"/>
            </w:pPr>
            <w:r>
              <w:rPr>
                <w:sz w:val="22"/>
              </w:rPr>
              <w:t xml:space="preserve">(1.269) </w:t>
            </w:r>
          </w:p>
        </w:tc>
        <w:tc>
          <w:tcPr>
            <w:tcW w:w="1701" w:type="dxa"/>
            <w:tcBorders>
              <w:top w:val="nil"/>
              <w:left w:val="single" w:sz="4" w:space="0" w:color="000000"/>
              <w:bottom w:val="single" w:sz="4" w:space="0" w:color="000000"/>
              <w:right w:val="single" w:sz="4" w:space="0" w:color="000000"/>
            </w:tcBorders>
          </w:tcPr>
          <w:p w14:paraId="2918708E" w14:textId="77777777" w:rsidR="003D3187" w:rsidRDefault="00000000">
            <w:pPr>
              <w:spacing w:after="0" w:line="259" w:lineRule="auto"/>
              <w:ind w:left="0" w:right="56" w:firstLine="0"/>
              <w:jc w:val="right"/>
            </w:pPr>
            <w:r>
              <w:rPr>
                <w:sz w:val="22"/>
              </w:rPr>
              <w:t xml:space="preserve">0.647 </w:t>
            </w:r>
          </w:p>
        </w:tc>
        <w:tc>
          <w:tcPr>
            <w:tcW w:w="1701" w:type="dxa"/>
            <w:tcBorders>
              <w:top w:val="nil"/>
              <w:left w:val="single" w:sz="4" w:space="0" w:color="000000"/>
              <w:bottom w:val="single" w:sz="4" w:space="0" w:color="000000"/>
              <w:right w:val="single" w:sz="4" w:space="0" w:color="000000"/>
            </w:tcBorders>
          </w:tcPr>
          <w:p w14:paraId="29A2D0D4" w14:textId="77777777" w:rsidR="003D3187" w:rsidRDefault="00000000">
            <w:pPr>
              <w:spacing w:after="0" w:line="259" w:lineRule="auto"/>
              <w:ind w:left="0" w:right="56" w:firstLine="0"/>
              <w:jc w:val="right"/>
            </w:pPr>
            <w:r>
              <w:rPr>
                <w:b/>
                <w:sz w:val="22"/>
              </w:rPr>
              <w:t xml:space="preserve">(0.622) </w:t>
            </w:r>
          </w:p>
        </w:tc>
      </w:tr>
      <w:tr w:rsidR="003D3187" w14:paraId="57DFEA86" w14:textId="77777777">
        <w:trPr>
          <w:trHeight w:val="298"/>
        </w:trPr>
        <w:tc>
          <w:tcPr>
            <w:tcW w:w="3821" w:type="dxa"/>
            <w:tcBorders>
              <w:top w:val="single" w:sz="4" w:space="0" w:color="000000"/>
              <w:left w:val="single" w:sz="4" w:space="0" w:color="000000"/>
              <w:bottom w:val="single" w:sz="4" w:space="0" w:color="000000"/>
              <w:right w:val="single" w:sz="4" w:space="0" w:color="000000"/>
            </w:tcBorders>
          </w:tcPr>
          <w:p w14:paraId="2A682555" w14:textId="77777777" w:rsidR="003D3187" w:rsidRDefault="00000000">
            <w:pPr>
              <w:spacing w:after="0" w:line="259" w:lineRule="auto"/>
              <w:ind w:left="0" w:firstLine="0"/>
            </w:pPr>
            <w:r>
              <w:rPr>
                <w:b/>
                <w:sz w:val="22"/>
              </w:rPr>
              <w:t xml:space="preserve">Total </w:t>
            </w:r>
          </w:p>
        </w:tc>
        <w:tc>
          <w:tcPr>
            <w:tcW w:w="1701" w:type="dxa"/>
            <w:tcBorders>
              <w:top w:val="single" w:sz="4" w:space="0" w:color="000000"/>
              <w:left w:val="single" w:sz="4" w:space="0" w:color="000000"/>
              <w:bottom w:val="single" w:sz="4" w:space="0" w:color="000000"/>
              <w:right w:val="single" w:sz="4" w:space="0" w:color="000000"/>
            </w:tcBorders>
          </w:tcPr>
          <w:p w14:paraId="786CF91B" w14:textId="77777777" w:rsidR="003D3187" w:rsidRDefault="00000000">
            <w:pPr>
              <w:spacing w:after="0" w:line="259" w:lineRule="auto"/>
              <w:ind w:left="0" w:right="56" w:firstLine="0"/>
              <w:jc w:val="right"/>
            </w:pPr>
            <w:r>
              <w:rPr>
                <w:b/>
                <w:sz w:val="22"/>
              </w:rPr>
              <w:t xml:space="preserve">(367.991) </w:t>
            </w:r>
          </w:p>
        </w:tc>
        <w:tc>
          <w:tcPr>
            <w:tcW w:w="1701" w:type="dxa"/>
            <w:tcBorders>
              <w:top w:val="single" w:sz="4" w:space="0" w:color="000000"/>
              <w:left w:val="single" w:sz="4" w:space="0" w:color="000000"/>
              <w:bottom w:val="single" w:sz="4" w:space="0" w:color="000000"/>
              <w:right w:val="single" w:sz="4" w:space="0" w:color="000000"/>
            </w:tcBorders>
          </w:tcPr>
          <w:p w14:paraId="079D68BD" w14:textId="77777777" w:rsidR="003D3187" w:rsidRDefault="00000000">
            <w:pPr>
              <w:spacing w:after="0" w:line="259" w:lineRule="auto"/>
              <w:ind w:left="0" w:right="56" w:firstLine="0"/>
              <w:jc w:val="right"/>
            </w:pPr>
            <w:r>
              <w:rPr>
                <w:b/>
                <w:sz w:val="22"/>
              </w:rPr>
              <w:t xml:space="preserve">(88.880) </w:t>
            </w:r>
          </w:p>
        </w:tc>
        <w:tc>
          <w:tcPr>
            <w:tcW w:w="1701" w:type="dxa"/>
            <w:tcBorders>
              <w:top w:val="single" w:sz="4" w:space="0" w:color="000000"/>
              <w:left w:val="single" w:sz="4" w:space="0" w:color="000000"/>
              <w:bottom w:val="single" w:sz="4" w:space="0" w:color="000000"/>
              <w:right w:val="single" w:sz="4" w:space="0" w:color="000000"/>
            </w:tcBorders>
          </w:tcPr>
          <w:p w14:paraId="3CC7CBBD" w14:textId="77777777" w:rsidR="003D3187" w:rsidRDefault="00000000">
            <w:pPr>
              <w:spacing w:after="0" w:line="259" w:lineRule="auto"/>
              <w:ind w:left="0" w:right="56" w:firstLine="0"/>
              <w:jc w:val="right"/>
            </w:pPr>
            <w:r>
              <w:rPr>
                <w:b/>
                <w:sz w:val="22"/>
              </w:rPr>
              <w:t xml:space="preserve">(456.871) </w:t>
            </w:r>
          </w:p>
        </w:tc>
      </w:tr>
    </w:tbl>
    <w:p w14:paraId="443500DA" w14:textId="77777777" w:rsidR="003D3187" w:rsidRDefault="00000000">
      <w:pPr>
        <w:spacing w:after="0" w:line="259" w:lineRule="auto"/>
        <w:ind w:left="207" w:firstLine="0"/>
      </w:pPr>
      <w:r>
        <w:t xml:space="preserve"> </w:t>
      </w:r>
    </w:p>
    <w:p w14:paraId="406E93CC" w14:textId="77777777" w:rsidR="003D3187" w:rsidRDefault="00000000">
      <w:pPr>
        <w:ind w:right="673"/>
      </w:pPr>
      <w:r>
        <w:t>5.3</w:t>
      </w:r>
      <w:r>
        <w:rPr>
          <w:rFonts w:ascii="Calibri" w:eastAsia="Calibri" w:hAnsi="Calibri" w:cs="Calibri"/>
          <w:b/>
          <w:sz w:val="22"/>
        </w:rPr>
        <w:t xml:space="preserve"> </w:t>
      </w:r>
      <w:r>
        <w:t>Total proposed net budget for 2026/27 is £424.007m.  General Fund reserves cover circa 15% or net spend proposed for 2026/27, safely above the 7.5% minimum recommended.</w:t>
      </w:r>
      <w:r>
        <w:rPr>
          <w:rFonts w:ascii="Calibri" w:eastAsia="Calibri" w:hAnsi="Calibri" w:cs="Calibri"/>
          <w:b/>
          <w:sz w:val="22"/>
        </w:rPr>
        <w:t xml:space="preserve"> </w:t>
      </w:r>
    </w:p>
    <w:p w14:paraId="6D28C276" w14:textId="77777777" w:rsidR="003D3187" w:rsidRDefault="00000000">
      <w:pPr>
        <w:pStyle w:val="Heading2"/>
        <w:spacing w:after="135"/>
        <w:ind w:left="10" w:right="533"/>
      </w:pPr>
      <w:r>
        <w:t xml:space="preserve">6. Section 25 Report </w:t>
      </w:r>
    </w:p>
    <w:p w14:paraId="4FB92266" w14:textId="77777777" w:rsidR="003D3187" w:rsidRDefault="00000000">
      <w:pPr>
        <w:ind w:right="860"/>
      </w:pPr>
      <w:r>
        <w:t xml:space="preserve">6.1 A full Section 25 report will be completed as part of the Budget documentation with professional opinion and assurances from the s151 with regard to the 2026/27 budget and the medium terms sustainability of the overall Medium Term Financial Plan. </w:t>
      </w:r>
    </w:p>
    <w:p w14:paraId="0C6994E0" w14:textId="77777777" w:rsidR="003D3187" w:rsidRDefault="00000000">
      <w:pPr>
        <w:spacing w:after="0" w:line="259" w:lineRule="auto"/>
        <w:ind w:left="207" w:firstLine="0"/>
      </w:pPr>
      <w:r>
        <w:t xml:space="preserve"> </w:t>
      </w:r>
      <w:r>
        <w:tab/>
        <w:t xml:space="preserve"> </w:t>
      </w:r>
    </w:p>
    <w:p w14:paraId="4981057B" w14:textId="77777777" w:rsidR="003D3187" w:rsidRDefault="00000000">
      <w:pPr>
        <w:spacing w:after="135" w:line="262" w:lineRule="auto"/>
        <w:ind w:left="217" w:right="533" w:hanging="10"/>
      </w:pPr>
      <w:r>
        <w:rPr>
          <w:b/>
        </w:rPr>
        <w:t xml:space="preserve">Appendix 5: Budget Consultation </w:t>
      </w:r>
    </w:p>
    <w:p w14:paraId="75BC0AAF" w14:textId="77777777" w:rsidR="003D3187" w:rsidRDefault="00000000">
      <w:pPr>
        <w:spacing w:after="179" w:line="259" w:lineRule="auto"/>
        <w:ind w:left="207" w:firstLine="0"/>
      </w:pPr>
      <w:r>
        <w:rPr>
          <w:b/>
        </w:rPr>
        <w:t xml:space="preserve"> </w:t>
      </w:r>
    </w:p>
    <w:p w14:paraId="49F2D4F5" w14:textId="77777777" w:rsidR="003D3187" w:rsidRDefault="00000000">
      <w:pPr>
        <w:pStyle w:val="Heading2"/>
        <w:spacing w:after="135"/>
        <w:ind w:left="10" w:right="533"/>
      </w:pPr>
      <w:r>
        <w:t xml:space="preserve">1. Overview </w:t>
      </w:r>
    </w:p>
    <w:p w14:paraId="03E09EBD" w14:textId="77777777" w:rsidR="003D3187" w:rsidRDefault="00000000">
      <w:pPr>
        <w:ind w:right="925"/>
      </w:pPr>
      <w:r>
        <w:t xml:space="preserve">1.1 Public consultation on the budget proposals for 2026-27 and wider 202630 MTFP will take place over a six-week period from 21st October to 2nd December. Supported by widespread communications activity, the budget consultation will achieve the objective of enabling the public to be effectively engaged in the process through a variety of means and provide them with sufficient opportunity to comment on the proposals. Proposals this year are focused on efficiencies and at this point none meet the threshold for requiring public consultation. However, to help demonstrate transparency and facilitate public and stakeholder engagement, comments on the proposals will be encouraged through a survey questionnaire and a series of engagement activities will be held to promote consultation. </w:t>
      </w:r>
    </w:p>
    <w:p w14:paraId="5B366311" w14:textId="77777777" w:rsidR="003D3187" w:rsidRDefault="00000000">
      <w:pPr>
        <w:ind w:right="887"/>
      </w:pPr>
      <w:r>
        <w:t xml:space="preserve">1.2 The survey will feature details of the different proposals and links to relevant EIAs and other supporting material. Respondents will be asked to give feedback on the budget proposals as a whole and/or on individual proposals. Details of any proposed changes to Council Tax will also be included. In addition, the questions used in the recent Local Government Reorganisation survey around people’s priorities for their local area will also be included. </w:t>
      </w:r>
    </w:p>
    <w:p w14:paraId="50837C09" w14:textId="77777777" w:rsidR="003D3187" w:rsidRDefault="00000000">
      <w:pPr>
        <w:ind w:right="926"/>
      </w:pPr>
      <w:r>
        <w:t xml:space="preserve">1.3 An Equality Impact Assessment will be prepared for each proposal (unless not relevant), and a link to the relevant EIA will be provided. All EIAs pertaining to the proposals will be published on a dedicated webpage on Nottingham Insight. All the proposals in the consultation process will have a public-facing narrative, so the full context can be understood. A link to the full Executive Board budget report will be provided on the Engage Nottingham Hub budget consultation landing page. </w:t>
      </w:r>
    </w:p>
    <w:p w14:paraId="5F3A3E95" w14:textId="77777777" w:rsidR="003D3187" w:rsidRDefault="00000000">
      <w:pPr>
        <w:ind w:left="0" w:right="450" w:firstLine="0"/>
      </w:pPr>
      <w:r>
        <w:t xml:space="preserve">1.4 The consultation will be supported by: </w:t>
      </w:r>
    </w:p>
    <w:p w14:paraId="587FC7BF" w14:textId="77777777" w:rsidR="003D3187" w:rsidRDefault="00000000">
      <w:pPr>
        <w:numPr>
          <w:ilvl w:val="0"/>
          <w:numId w:val="14"/>
        </w:numPr>
        <w:spacing w:after="179" w:line="259" w:lineRule="auto"/>
        <w:ind w:right="450" w:hanging="360"/>
      </w:pPr>
      <w:r>
        <w:t xml:space="preserve">A survey with supporting information, in both online and hard copy format  </w:t>
      </w:r>
    </w:p>
    <w:p w14:paraId="391EE0A0" w14:textId="77777777" w:rsidR="003D3187" w:rsidRDefault="00000000">
      <w:pPr>
        <w:numPr>
          <w:ilvl w:val="0"/>
          <w:numId w:val="14"/>
        </w:numPr>
        <w:spacing w:after="187"/>
        <w:ind w:right="450" w:hanging="360"/>
      </w:pPr>
      <w:r>
        <w:t xml:space="preserve">Stakeholder and public engagement activities in online and in-person formats, included targeted meetings  </w:t>
      </w:r>
    </w:p>
    <w:p w14:paraId="709C25BA" w14:textId="77777777" w:rsidR="003D3187" w:rsidRDefault="00000000">
      <w:pPr>
        <w:numPr>
          <w:ilvl w:val="0"/>
          <w:numId w:val="14"/>
        </w:numPr>
        <w:spacing w:after="187"/>
        <w:ind w:right="450" w:hanging="360"/>
      </w:pPr>
      <w:r>
        <w:t xml:space="preserve">Internal engagement with staff, trade unions and council scrutiny committees </w:t>
      </w:r>
    </w:p>
    <w:p w14:paraId="316034FA" w14:textId="77777777" w:rsidR="003D3187" w:rsidRDefault="00000000">
      <w:pPr>
        <w:numPr>
          <w:ilvl w:val="0"/>
          <w:numId w:val="14"/>
        </w:numPr>
        <w:spacing w:after="189"/>
        <w:ind w:right="450" w:hanging="360"/>
      </w:pPr>
      <w:r>
        <w:t xml:space="preserve">Messaging through external and internal comms channels </w:t>
      </w:r>
    </w:p>
    <w:p w14:paraId="52DD1D95" w14:textId="77777777" w:rsidR="003D3187" w:rsidRDefault="00000000">
      <w:pPr>
        <w:spacing w:after="180" w:line="259" w:lineRule="auto"/>
        <w:ind w:left="207" w:firstLine="0"/>
      </w:pPr>
      <w:r>
        <w:t xml:space="preserve"> </w:t>
      </w:r>
    </w:p>
    <w:p w14:paraId="07C4B0E7" w14:textId="77777777" w:rsidR="003D3187" w:rsidRDefault="00000000">
      <w:pPr>
        <w:pStyle w:val="Heading2"/>
        <w:spacing w:after="135"/>
        <w:ind w:left="10" w:right="533"/>
      </w:pPr>
      <w:r>
        <w:t>2.</w:t>
      </w:r>
      <w:r>
        <w:rPr>
          <w:sz w:val="22"/>
        </w:rPr>
        <w:t xml:space="preserve"> </w:t>
      </w:r>
      <w:r>
        <w:t>Consultation Methodology</w:t>
      </w:r>
      <w:r>
        <w:rPr>
          <w:sz w:val="22"/>
        </w:rPr>
        <w:t xml:space="preserve"> </w:t>
      </w:r>
    </w:p>
    <w:p w14:paraId="1FC3443E" w14:textId="77777777" w:rsidR="003D3187" w:rsidRDefault="00000000">
      <w:pPr>
        <w:spacing w:after="160" w:line="276" w:lineRule="auto"/>
        <w:ind w:left="565" w:right="954" w:hanging="580"/>
        <w:jc w:val="both"/>
      </w:pPr>
      <w:r>
        <w:t xml:space="preserve">2.1 An online survey built in MS Forms and hosted on the council’s Engage Nottingham Hub webpage will provide the public with the opportunity to feedback their views on the proposals and EIAs. A public-facing narrative for the proposals will be prepared to optimise accessibility, and supporting materials including FAQ sheet and graphic breakdown of council spending will be included. In addition, a link to the full budget report will also be available. Survey responses to the proposals will primarily be open text </w:t>
      </w:r>
    </w:p>
    <w:p w14:paraId="211DCC73" w14:textId="77777777" w:rsidR="003D3187" w:rsidRDefault="00000000">
      <w:pPr>
        <w:spacing w:after="160" w:line="276" w:lineRule="auto"/>
        <w:ind w:left="570" w:right="954" w:firstLine="0"/>
        <w:jc w:val="both"/>
      </w:pPr>
      <w:r>
        <w:t xml:space="preserve">form, with some drop down tick box options for questions on priorities. The online survey tool features a translation function which enables responses in the chosen language of the respondent. </w:t>
      </w:r>
    </w:p>
    <w:p w14:paraId="0F392E06" w14:textId="77777777" w:rsidR="003D3187" w:rsidRDefault="00000000">
      <w:pPr>
        <w:spacing w:after="160" w:line="276" w:lineRule="auto"/>
        <w:ind w:left="565" w:right="954" w:hanging="580"/>
        <w:jc w:val="both"/>
      </w:pPr>
      <w:r>
        <w:t xml:space="preserve">2.2 For accessibility, hard copies of the survey will be available for completion and submission at local library branches. Hard copy versions of the survey will be available across the Council’s community library network. Survey respondents will leave completed surveys with the library for collection and input by the REC Team. Information about this service will be available on the Engage Nottingham Hub budget consultation website.  </w:t>
      </w:r>
    </w:p>
    <w:p w14:paraId="1FA75248" w14:textId="77777777" w:rsidR="003D3187" w:rsidRDefault="00000000">
      <w:pPr>
        <w:spacing w:after="179" w:line="259" w:lineRule="auto"/>
        <w:ind w:left="207" w:firstLine="0"/>
      </w:pPr>
      <w:r>
        <w:t xml:space="preserve"> </w:t>
      </w:r>
    </w:p>
    <w:p w14:paraId="710C4D2D" w14:textId="77777777" w:rsidR="003D3187" w:rsidRDefault="00000000">
      <w:pPr>
        <w:pStyle w:val="Heading2"/>
        <w:spacing w:after="135"/>
        <w:ind w:left="10" w:right="533"/>
      </w:pPr>
      <w:r>
        <w:t xml:space="preserve">3. Engagement events to promote the consultation </w:t>
      </w:r>
    </w:p>
    <w:p w14:paraId="7FF999F3" w14:textId="77777777" w:rsidR="003D3187" w:rsidRDefault="00000000">
      <w:pPr>
        <w:spacing w:after="160" w:line="276" w:lineRule="auto"/>
        <w:ind w:left="565" w:right="954" w:hanging="580"/>
        <w:jc w:val="both"/>
      </w:pPr>
      <w:r>
        <w:t xml:space="preserve">3.1 A stakeholder briefing event to help launch and promote the consultation will take place shortly after proposals are approved by Exec Board. The briefing will be led by the Leadership/Exec Board team and supported by CLT. Invited audience members will include key city stakeholder representatives, voluntary sector and business leaders, and members of the press. The focus of the event will set out the context of the budget, the council’s improvement journey and future challenges and opportunities. </w:t>
      </w:r>
    </w:p>
    <w:p w14:paraId="259400FB" w14:textId="77777777" w:rsidR="003D3187" w:rsidRDefault="00000000">
      <w:pPr>
        <w:spacing w:after="160" w:line="276" w:lineRule="auto"/>
        <w:ind w:left="565" w:right="954" w:hanging="580"/>
        <w:jc w:val="both"/>
      </w:pPr>
      <w:r>
        <w:t xml:space="preserve">3.2 In-person open public engagement events will be held in North, Central and South localities. In addition, an online public engagement meeting will be held to enable participation by those unable to attend an in-person meeting A hybrid meeting with disability group representatives will take place as part of the November meeting of the Disability Involvement Group. An in-person event with young people will be convened through the Child Friendly Nottingham partnership. This will be invitation only to targeted audiences. A series of in-person and virtual budget roadshows will be held with staff. Meetings will also be held with Trade Union representatives. </w:t>
      </w:r>
    </w:p>
    <w:p w14:paraId="39F660D8" w14:textId="77777777" w:rsidR="003D3187" w:rsidRDefault="00000000">
      <w:pPr>
        <w:spacing w:after="160" w:line="276" w:lineRule="auto"/>
        <w:ind w:left="565" w:right="954" w:hanging="580"/>
        <w:jc w:val="both"/>
      </w:pPr>
      <w:r>
        <w:t xml:space="preserve">3.3 Following approval of proposals at Exec Board on 21st October, Corporate Scrutiny Committee will be provided with access to all Star Chamber papers and Budget Modelling. Scrutiny Committees will be engaged at the start of the consultation and invited to make a formal contribution in writing, which will be presented as an appendix to the budget survey findings.  </w:t>
      </w:r>
    </w:p>
    <w:p w14:paraId="3BEE1922" w14:textId="77777777" w:rsidR="003D3187" w:rsidRDefault="00000000">
      <w:pPr>
        <w:pStyle w:val="Heading2"/>
        <w:spacing w:after="135"/>
        <w:ind w:left="10" w:right="533"/>
      </w:pPr>
      <w:r>
        <w:t xml:space="preserve">4. Communications </w:t>
      </w:r>
    </w:p>
    <w:p w14:paraId="3846FEF3" w14:textId="77777777" w:rsidR="003D3187" w:rsidRDefault="00000000">
      <w:pPr>
        <w:spacing w:after="160" w:line="276" w:lineRule="auto"/>
        <w:ind w:left="565" w:right="954" w:hanging="580"/>
        <w:jc w:val="both"/>
      </w:pPr>
      <w:r>
        <w:t xml:space="preserve">4.1 Communications support for the consultation process will accompany all stages of the six-week timetable. A Communications Plan detailing this work will be provided separately. A dedicated website for the budget consultation will be hosted on the Engage Nottingham Hub site. This will contain the survey, links to the budget report, a simple summary, Frequently Asked Questions (FAQs), links to Equality Impact Assessments for the proposals (and the budget consultation EIA), a calendar of engagement events (including registration booking links for virtual events), where to find hard copies of the survey, and information about accessibility. </w:t>
      </w:r>
    </w:p>
    <w:sectPr w:rsidR="003D3187">
      <w:pgSz w:w="11906" w:h="16838"/>
      <w:pgMar w:top="709" w:right="828" w:bottom="996" w:left="15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68F1"/>
    <w:multiLevelType w:val="hybridMultilevel"/>
    <w:tmpl w:val="88629976"/>
    <w:lvl w:ilvl="0" w:tplc="D12AB54C">
      <w:start w:val="1"/>
      <w:numFmt w:val="decimal"/>
      <w:lvlText w:val="%1)"/>
      <w:lvlJc w:val="left"/>
      <w:pPr>
        <w:ind w:left="2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6061E">
      <w:start w:val="1"/>
      <w:numFmt w:val="lowerLetter"/>
      <w:lvlText w:val="%2"/>
      <w:lvlJc w:val="left"/>
      <w:pPr>
        <w:ind w:left="1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D4A2D0">
      <w:start w:val="1"/>
      <w:numFmt w:val="lowerRoman"/>
      <w:lvlText w:val="%3"/>
      <w:lvlJc w:val="left"/>
      <w:pPr>
        <w:ind w:left="2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081B5E">
      <w:start w:val="1"/>
      <w:numFmt w:val="decimal"/>
      <w:lvlText w:val="%4"/>
      <w:lvlJc w:val="left"/>
      <w:pPr>
        <w:ind w:left="3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F0481A">
      <w:start w:val="1"/>
      <w:numFmt w:val="lowerLetter"/>
      <w:lvlText w:val="%5"/>
      <w:lvlJc w:val="left"/>
      <w:pPr>
        <w:ind w:left="4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1882EA">
      <w:start w:val="1"/>
      <w:numFmt w:val="lowerRoman"/>
      <w:lvlText w:val="%6"/>
      <w:lvlJc w:val="left"/>
      <w:pPr>
        <w:ind w:left="4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1EB24A">
      <w:start w:val="1"/>
      <w:numFmt w:val="decimal"/>
      <w:lvlText w:val="%7"/>
      <w:lvlJc w:val="left"/>
      <w:pPr>
        <w:ind w:left="5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E10DE">
      <w:start w:val="1"/>
      <w:numFmt w:val="lowerLetter"/>
      <w:lvlText w:val="%8"/>
      <w:lvlJc w:val="left"/>
      <w:pPr>
        <w:ind w:left="6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508D42">
      <w:start w:val="1"/>
      <w:numFmt w:val="lowerRoman"/>
      <w:lvlText w:val="%9"/>
      <w:lvlJc w:val="left"/>
      <w:pPr>
        <w:ind w:left="6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2A7D85"/>
    <w:multiLevelType w:val="hybridMultilevel"/>
    <w:tmpl w:val="3D240B2A"/>
    <w:lvl w:ilvl="0" w:tplc="B27855D6">
      <w:start w:val="1"/>
      <w:numFmt w:val="bullet"/>
      <w:lvlText w:val="➢"/>
      <w:lvlJc w:val="left"/>
      <w:pPr>
        <w:ind w:left="21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D815E8">
      <w:start w:val="1"/>
      <w:numFmt w:val="bullet"/>
      <w:lvlText w:val="o"/>
      <w:lvlJc w:val="left"/>
      <w:pPr>
        <w:ind w:left="18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8A78F4">
      <w:start w:val="1"/>
      <w:numFmt w:val="bullet"/>
      <w:lvlText w:val="▪"/>
      <w:lvlJc w:val="left"/>
      <w:pPr>
        <w:ind w:left="25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68AC3C0">
      <w:start w:val="1"/>
      <w:numFmt w:val="bullet"/>
      <w:lvlText w:val="•"/>
      <w:lvlJc w:val="left"/>
      <w:pPr>
        <w:ind w:left="32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B87B08">
      <w:start w:val="1"/>
      <w:numFmt w:val="bullet"/>
      <w:lvlText w:val="o"/>
      <w:lvlJc w:val="left"/>
      <w:pPr>
        <w:ind w:left="40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38356A">
      <w:start w:val="1"/>
      <w:numFmt w:val="bullet"/>
      <w:lvlText w:val="▪"/>
      <w:lvlJc w:val="left"/>
      <w:pPr>
        <w:ind w:left="4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8EC6C0">
      <w:start w:val="1"/>
      <w:numFmt w:val="bullet"/>
      <w:lvlText w:val="•"/>
      <w:lvlJc w:val="left"/>
      <w:pPr>
        <w:ind w:left="5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8CF3B0">
      <w:start w:val="1"/>
      <w:numFmt w:val="bullet"/>
      <w:lvlText w:val="o"/>
      <w:lvlJc w:val="left"/>
      <w:pPr>
        <w:ind w:left="6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FF63C5A">
      <w:start w:val="1"/>
      <w:numFmt w:val="bullet"/>
      <w:lvlText w:val="▪"/>
      <w:lvlJc w:val="left"/>
      <w:pPr>
        <w:ind w:left="6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73522B"/>
    <w:multiLevelType w:val="hybridMultilevel"/>
    <w:tmpl w:val="24E6F646"/>
    <w:lvl w:ilvl="0" w:tplc="865AAFEC">
      <w:start w:val="1"/>
      <w:numFmt w:val="bullet"/>
      <w:lvlText w:val="•"/>
      <w:lvlJc w:val="left"/>
      <w:pPr>
        <w:ind w:left="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4EB1E0">
      <w:start w:val="1"/>
      <w:numFmt w:val="bullet"/>
      <w:lvlText w:val="o"/>
      <w:lvlJc w:val="left"/>
      <w:pPr>
        <w:ind w:left="2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D05904">
      <w:start w:val="1"/>
      <w:numFmt w:val="bullet"/>
      <w:lvlText w:val="▪"/>
      <w:lvlJc w:val="left"/>
      <w:pPr>
        <w:ind w:left="29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849DC">
      <w:start w:val="1"/>
      <w:numFmt w:val="bullet"/>
      <w:lvlText w:val="•"/>
      <w:lvlJc w:val="left"/>
      <w:pPr>
        <w:ind w:left="3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C20C00">
      <w:start w:val="1"/>
      <w:numFmt w:val="bullet"/>
      <w:lvlText w:val="o"/>
      <w:lvlJc w:val="left"/>
      <w:pPr>
        <w:ind w:left="43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BC2762">
      <w:start w:val="1"/>
      <w:numFmt w:val="bullet"/>
      <w:lvlText w:val="▪"/>
      <w:lvlJc w:val="left"/>
      <w:pPr>
        <w:ind w:left="51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EEC212">
      <w:start w:val="1"/>
      <w:numFmt w:val="bullet"/>
      <w:lvlText w:val="•"/>
      <w:lvlJc w:val="left"/>
      <w:pPr>
        <w:ind w:left="5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94AC30">
      <w:start w:val="1"/>
      <w:numFmt w:val="bullet"/>
      <w:lvlText w:val="o"/>
      <w:lvlJc w:val="left"/>
      <w:pPr>
        <w:ind w:left="6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6852F2">
      <w:start w:val="1"/>
      <w:numFmt w:val="bullet"/>
      <w:lvlText w:val="▪"/>
      <w:lvlJc w:val="left"/>
      <w:pPr>
        <w:ind w:left="72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4F1650"/>
    <w:multiLevelType w:val="hybridMultilevel"/>
    <w:tmpl w:val="449691A2"/>
    <w:lvl w:ilvl="0" w:tplc="55C610D4">
      <w:start w:val="5"/>
      <w:numFmt w:val="decimal"/>
      <w:lvlText w:val="%1"/>
      <w:lvlJc w:val="left"/>
      <w:pPr>
        <w:ind w:left="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516509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948918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99CE0F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192312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A6CF21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C9E44C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B4864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FAEA0E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6F1206"/>
    <w:multiLevelType w:val="hybridMultilevel"/>
    <w:tmpl w:val="664CEE4C"/>
    <w:lvl w:ilvl="0" w:tplc="88D494A4">
      <w:start w:val="14"/>
      <w:numFmt w:val="decimal"/>
      <w:lvlText w:val="%1."/>
      <w:lvlJc w:val="left"/>
      <w:pPr>
        <w:ind w:left="11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F0E0BC6">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5CE932">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39E1B50">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BEC8926">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7EC0568">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9A2C34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212D6F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2C2463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C110FD"/>
    <w:multiLevelType w:val="hybridMultilevel"/>
    <w:tmpl w:val="D3BC7560"/>
    <w:lvl w:ilvl="0" w:tplc="7C5098E0">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F6FE2C">
      <w:start w:val="1"/>
      <w:numFmt w:val="bullet"/>
      <w:lvlText w:val="o"/>
      <w:lvlJc w:val="left"/>
      <w:pPr>
        <w:ind w:left="2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D834D8">
      <w:start w:val="1"/>
      <w:numFmt w:val="bullet"/>
      <w:lvlText w:val="▪"/>
      <w:lvlJc w:val="left"/>
      <w:pPr>
        <w:ind w:left="3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4471D2">
      <w:start w:val="1"/>
      <w:numFmt w:val="bullet"/>
      <w:lvlText w:val="•"/>
      <w:lvlJc w:val="left"/>
      <w:pPr>
        <w:ind w:left="3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40626A">
      <w:start w:val="1"/>
      <w:numFmt w:val="bullet"/>
      <w:lvlText w:val="o"/>
      <w:lvlJc w:val="left"/>
      <w:pPr>
        <w:ind w:left="4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C489FC">
      <w:start w:val="1"/>
      <w:numFmt w:val="bullet"/>
      <w:lvlText w:val="▪"/>
      <w:lvlJc w:val="left"/>
      <w:pPr>
        <w:ind w:left="5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E2F5D2">
      <w:start w:val="1"/>
      <w:numFmt w:val="bullet"/>
      <w:lvlText w:val="•"/>
      <w:lvlJc w:val="left"/>
      <w:pPr>
        <w:ind w:left="6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8EB00E">
      <w:start w:val="1"/>
      <w:numFmt w:val="bullet"/>
      <w:lvlText w:val="o"/>
      <w:lvlJc w:val="left"/>
      <w:pPr>
        <w:ind w:left="6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A2D468">
      <w:start w:val="1"/>
      <w:numFmt w:val="bullet"/>
      <w:lvlText w:val="▪"/>
      <w:lvlJc w:val="left"/>
      <w:pPr>
        <w:ind w:left="7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1D4B45"/>
    <w:multiLevelType w:val="hybridMultilevel"/>
    <w:tmpl w:val="CA2EFD48"/>
    <w:lvl w:ilvl="0" w:tplc="3E0A7A26">
      <w:start w:val="10"/>
      <w:numFmt w:val="decimal"/>
      <w:lvlText w:val="%1."/>
      <w:lvlJc w:val="left"/>
      <w:pPr>
        <w:ind w:left="1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90BF76">
      <w:start w:val="1"/>
      <w:numFmt w:val="lowerLetter"/>
      <w:lvlText w:val="%2"/>
      <w:lvlJc w:val="left"/>
      <w:pPr>
        <w:ind w:left="1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44E054">
      <w:start w:val="1"/>
      <w:numFmt w:val="lowerRoman"/>
      <w:lvlText w:val="%3"/>
      <w:lvlJc w:val="left"/>
      <w:pPr>
        <w:ind w:left="21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7E8EBA2">
      <w:start w:val="1"/>
      <w:numFmt w:val="decimal"/>
      <w:lvlText w:val="%4"/>
      <w:lvlJc w:val="left"/>
      <w:pPr>
        <w:ind w:left="28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0487540">
      <w:start w:val="1"/>
      <w:numFmt w:val="lowerLetter"/>
      <w:lvlText w:val="%5"/>
      <w:lvlJc w:val="left"/>
      <w:pPr>
        <w:ind w:left="3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CD43966">
      <w:start w:val="1"/>
      <w:numFmt w:val="lowerRoman"/>
      <w:lvlText w:val="%6"/>
      <w:lvlJc w:val="left"/>
      <w:pPr>
        <w:ind w:left="4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D1C2C46">
      <w:start w:val="1"/>
      <w:numFmt w:val="decimal"/>
      <w:lvlText w:val="%7"/>
      <w:lvlJc w:val="left"/>
      <w:pPr>
        <w:ind w:left="50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D5C80B4">
      <w:start w:val="1"/>
      <w:numFmt w:val="lowerLetter"/>
      <w:lvlText w:val="%8"/>
      <w:lvlJc w:val="left"/>
      <w:pPr>
        <w:ind w:left="57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EAAA528">
      <w:start w:val="1"/>
      <w:numFmt w:val="lowerRoman"/>
      <w:lvlText w:val="%9"/>
      <w:lvlJc w:val="left"/>
      <w:pPr>
        <w:ind w:left="64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B42823"/>
    <w:multiLevelType w:val="hybridMultilevel"/>
    <w:tmpl w:val="02EC8D14"/>
    <w:lvl w:ilvl="0" w:tplc="AEBE1D54">
      <w:start w:val="1"/>
      <w:numFmt w:val="lowerLetter"/>
      <w:lvlText w:val="%1)"/>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EC96C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489F6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1C152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6ADFE0">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B4FC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40C88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D2882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12E1A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381BE9"/>
    <w:multiLevelType w:val="multilevel"/>
    <w:tmpl w:val="BC12A35A"/>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0"/>
      <w:numFmt w:val="decimal"/>
      <w:lvlRestart w:val="0"/>
      <w:lvlText w:val="%1.%2"/>
      <w:lvlJc w:val="left"/>
      <w:pPr>
        <w:ind w:left="1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B55328"/>
    <w:multiLevelType w:val="hybridMultilevel"/>
    <w:tmpl w:val="E654C3FE"/>
    <w:lvl w:ilvl="0" w:tplc="83549ADC">
      <w:start w:val="1"/>
      <w:numFmt w:val="bullet"/>
      <w:lvlText w:val="➢"/>
      <w:lvlJc w:val="left"/>
      <w:pPr>
        <w:ind w:left="21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72B2A2">
      <w:start w:val="1"/>
      <w:numFmt w:val="bullet"/>
      <w:lvlText w:val="o"/>
      <w:lvlJc w:val="left"/>
      <w:pPr>
        <w:ind w:left="18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1CA9B46">
      <w:start w:val="1"/>
      <w:numFmt w:val="bullet"/>
      <w:lvlText w:val="▪"/>
      <w:lvlJc w:val="left"/>
      <w:pPr>
        <w:ind w:left="25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C641E64">
      <w:start w:val="1"/>
      <w:numFmt w:val="bullet"/>
      <w:lvlText w:val="•"/>
      <w:lvlJc w:val="left"/>
      <w:pPr>
        <w:ind w:left="32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57A648C">
      <w:start w:val="1"/>
      <w:numFmt w:val="bullet"/>
      <w:lvlText w:val="o"/>
      <w:lvlJc w:val="left"/>
      <w:pPr>
        <w:ind w:left="40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5460F0">
      <w:start w:val="1"/>
      <w:numFmt w:val="bullet"/>
      <w:lvlText w:val="▪"/>
      <w:lvlJc w:val="left"/>
      <w:pPr>
        <w:ind w:left="4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B2B8A2">
      <w:start w:val="1"/>
      <w:numFmt w:val="bullet"/>
      <w:lvlText w:val="•"/>
      <w:lvlJc w:val="left"/>
      <w:pPr>
        <w:ind w:left="5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B16A0A2">
      <w:start w:val="1"/>
      <w:numFmt w:val="bullet"/>
      <w:lvlText w:val="o"/>
      <w:lvlJc w:val="left"/>
      <w:pPr>
        <w:ind w:left="6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4EFD1C">
      <w:start w:val="1"/>
      <w:numFmt w:val="bullet"/>
      <w:lvlText w:val="▪"/>
      <w:lvlJc w:val="left"/>
      <w:pPr>
        <w:ind w:left="6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7D1F50"/>
    <w:multiLevelType w:val="hybridMultilevel"/>
    <w:tmpl w:val="E0688A28"/>
    <w:lvl w:ilvl="0" w:tplc="B418A026">
      <w:start w:val="1"/>
      <w:numFmt w:val="lowerLetter"/>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A1A0BB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61CCC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FC62EE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186770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EEC281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5E2F97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DEAF6F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294222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0FD5915"/>
    <w:multiLevelType w:val="multilevel"/>
    <w:tmpl w:val="9834A350"/>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8"/>
      <w:numFmt w:val="decimal"/>
      <w:lvlRestart w:val="0"/>
      <w:lvlText w:val="%1.%2"/>
      <w:lvlJc w:val="left"/>
      <w:pPr>
        <w:ind w:left="1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58B242A"/>
    <w:multiLevelType w:val="hybridMultilevel"/>
    <w:tmpl w:val="390E2C32"/>
    <w:lvl w:ilvl="0" w:tplc="C2F839B6">
      <w:start w:val="9"/>
      <w:numFmt w:val="decimal"/>
      <w:lvlText w:val="%1."/>
      <w:lvlJc w:val="left"/>
      <w:pPr>
        <w:ind w:left="11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2502194">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221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344AA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69480F8">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5EECC3C">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F78388E">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814EE6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1AED510">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E234A48"/>
    <w:multiLevelType w:val="multilevel"/>
    <w:tmpl w:val="DE68D7F4"/>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21708797">
    <w:abstractNumId w:val="3"/>
  </w:num>
  <w:num w:numId="2" w16cid:durableId="705983970">
    <w:abstractNumId w:val="2"/>
  </w:num>
  <w:num w:numId="3" w16cid:durableId="1909533394">
    <w:abstractNumId w:val="10"/>
  </w:num>
  <w:num w:numId="4" w16cid:durableId="1607151976">
    <w:abstractNumId w:val="0"/>
  </w:num>
  <w:num w:numId="5" w16cid:durableId="1968004252">
    <w:abstractNumId w:val="9"/>
  </w:num>
  <w:num w:numId="6" w16cid:durableId="794058821">
    <w:abstractNumId w:val="1"/>
  </w:num>
  <w:num w:numId="7" w16cid:durableId="1097865058">
    <w:abstractNumId w:val="11"/>
  </w:num>
  <w:num w:numId="8" w16cid:durableId="176192390">
    <w:abstractNumId w:val="8"/>
  </w:num>
  <w:num w:numId="9" w16cid:durableId="121731508">
    <w:abstractNumId w:val="13"/>
  </w:num>
  <w:num w:numId="10" w16cid:durableId="906260711">
    <w:abstractNumId w:val="12"/>
  </w:num>
  <w:num w:numId="11" w16cid:durableId="124743869">
    <w:abstractNumId w:val="6"/>
  </w:num>
  <w:num w:numId="12" w16cid:durableId="893468381">
    <w:abstractNumId w:val="4"/>
  </w:num>
  <w:num w:numId="13" w16cid:durableId="1254363804">
    <w:abstractNumId w:val="5"/>
  </w:num>
  <w:num w:numId="14" w16cid:durableId="1496145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87"/>
    <w:rsid w:val="003D3187"/>
    <w:rsid w:val="00CC3FE5"/>
    <w:rsid w:val="00D7529E"/>
    <w:rsid w:val="00FD1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A52D"/>
  <w15:docId w15:val="{79D977AD-E211-4DB0-B878-2C893A82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49" w:lineRule="auto"/>
      <w:ind w:left="577" w:hanging="577"/>
    </w:pPr>
    <w:rPr>
      <w:rFonts w:ascii="Arial" w:eastAsia="Arial" w:hAnsi="Arial" w:cs="Arial"/>
      <w:color w:val="000000"/>
    </w:rPr>
  </w:style>
  <w:style w:type="paragraph" w:styleId="Heading1">
    <w:name w:val="heading 1"/>
    <w:next w:val="Normal"/>
    <w:link w:val="Heading1Char"/>
    <w:uiPriority w:val="9"/>
    <w:qFormat/>
    <w:pPr>
      <w:keepNext/>
      <w:keepLines/>
      <w:spacing w:after="1" w:line="262" w:lineRule="auto"/>
      <w:ind w:left="3247"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 w:line="262" w:lineRule="auto"/>
      <w:ind w:left="3247"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10347</Words>
  <Characters>58464</Characters>
  <Application>Microsoft Office Word</Application>
  <DocSecurity>0</DocSecurity>
  <Lines>1827</Lines>
  <Paragraphs>1404</Paragraphs>
  <ScaleCrop>false</ScaleCrop>
  <Company>Nottingham City Council</Company>
  <LinksUpToDate>false</LinksUpToDate>
  <CharactersWithSpaces>67407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BOARD -                         2010</dc:title>
  <dc:subject/>
  <dc:creator>McMenamin</dc:creator>
  <cp:keywords/>
  <cp:lastModifiedBy>Jon Rea</cp:lastModifiedBy>
  <cp:revision>3</cp:revision>
  <dcterms:created xsi:type="dcterms:W3CDTF">2025-11-06T07:25:00Z</dcterms:created>
  <dcterms:modified xsi:type="dcterms:W3CDTF">2025-11-06T07:27:00Z</dcterms:modified>
</cp:coreProperties>
</file>